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adjustRightInd/>
        <w:snapToGrid/>
        <w:spacing w:before="0" w:beforeLines="0" w:beforeAutospacing="0" w:after="0" w:afterLines="0" w:afterAutospacing="0" w:line="700" w:lineRule="exact"/>
        <w:ind w:left="0" w:leftChars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auto"/>
          <w:sz w:val="44"/>
          <w:u w:val="none" w:color="auto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snapToGrid/>
          <w:color w:val="auto"/>
          <w:sz w:val="44"/>
          <w:u w:val="none" w:color="auto"/>
          <w:shd w:val="clear" w:color="auto" w:fill="FFFFFF"/>
          <w:lang w:eastAsia="zh-CN"/>
        </w:rPr>
        <w:t>应届毕业生毕业证明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照片：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兹证明该生系我校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2017届应届毕业生，学历层次为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月将取得普通全日制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2017年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（加盖学校或院系公章）</w:t>
      </w:r>
    </w:p>
    <w:sectPr>
      <w:pgSz w:w="11906" w:h="16838"/>
      <w:pgMar w:top="1814" w:right="1417" w:bottom="1474" w:left="1474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E5EA2"/>
    <w:rsid w:val="47EE5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2017-06-02T07:55:00Z</dcterms:created>
  <dc:creator>Administrator</dc:creator>
  <cp:lastModifiedBy>Administrator</cp:lastModifiedBy>
  <dcterms:modified xsi:type="dcterms:W3CDTF">2017-06-02T07:55:39Z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