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s="宋体"/>
          <w:bCs/>
          <w:color w:val="333333"/>
          <w:kern w:val="36"/>
          <w:sz w:val="28"/>
          <w:szCs w:val="28"/>
        </w:rPr>
      </w:pPr>
      <w:bookmarkStart w:id="19" w:name="_GoBack"/>
      <w:bookmarkEnd w:id="19"/>
      <w:r>
        <w:rPr>
          <w:rFonts w:hint="eastAsia" w:ascii="华文中宋" w:hAnsi="华文中宋" w:eastAsia="华文中宋" w:cs="宋体"/>
          <w:bCs/>
          <w:color w:val="333333"/>
          <w:kern w:val="36"/>
          <w:sz w:val="28"/>
          <w:szCs w:val="28"/>
        </w:rPr>
        <w:t>附件5</w:t>
      </w:r>
    </w:p>
    <w:p>
      <w:pPr>
        <w:jc w:val="center"/>
        <w:rPr>
          <w:rFonts w:ascii="华文中宋" w:hAnsi="华文中宋" w:eastAsia="华文中宋" w:cs="宋体"/>
          <w:b/>
          <w:bCs/>
          <w:color w:val="333333"/>
          <w:kern w:val="36"/>
          <w:sz w:val="36"/>
          <w:szCs w:val="36"/>
        </w:rPr>
      </w:pPr>
      <w:r>
        <w:rPr>
          <w:rFonts w:hint="eastAsia" w:ascii="华文中宋" w:hAnsi="华文中宋" w:eastAsia="华文中宋" w:cs="宋体"/>
          <w:b/>
          <w:bCs/>
          <w:color w:val="333333"/>
          <w:kern w:val="36"/>
          <w:sz w:val="36"/>
          <w:szCs w:val="36"/>
        </w:rPr>
        <w:t>2019年梅州市梅江区事业单位公开招聘报考指南</w:t>
      </w:r>
    </w:p>
    <w:sdt>
      <w:sdtPr>
        <w:rPr>
          <w:rFonts w:asciiTheme="minorHAnsi" w:hAnsiTheme="minorHAnsi" w:eastAsiaTheme="minorEastAsia" w:cstheme="minorBidi"/>
          <w:b w:val="0"/>
          <w:bCs w:val="0"/>
          <w:color w:val="auto"/>
          <w:kern w:val="2"/>
          <w:sz w:val="21"/>
          <w:szCs w:val="22"/>
          <w:lang w:val="zh-CN"/>
        </w:rPr>
        <w:id w:val="8098855"/>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15"/>
            <w:jc w:val="center"/>
          </w:pPr>
          <w:r>
            <w:rPr>
              <w:lang w:val="zh-CN"/>
            </w:rPr>
            <w:t>目录</w:t>
          </w:r>
        </w:p>
        <w:p>
          <w:pPr>
            <w:pStyle w:val="6"/>
          </w:pPr>
          <w:r>
            <w:fldChar w:fldCharType="begin"/>
          </w:r>
          <w:r>
            <w:instrText xml:space="preserve"> TOC \o "1-3" \h \z \u </w:instrText>
          </w:r>
          <w:r>
            <w:fldChar w:fldCharType="separate"/>
          </w:r>
          <w:r>
            <w:fldChar w:fldCharType="begin"/>
          </w:r>
          <w:r>
            <w:instrText xml:space="preserve"> HYPERLINK \l "_Toc23930309" </w:instrText>
          </w:r>
          <w:r>
            <w:fldChar w:fldCharType="separate"/>
          </w:r>
          <w:r>
            <w:rPr>
              <w:rStyle w:val="9"/>
            </w:rPr>
            <w:t>1.</w:t>
          </w:r>
          <w:r>
            <w:tab/>
          </w:r>
          <w:r>
            <w:rPr>
              <w:rStyle w:val="9"/>
              <w:rFonts w:hint="eastAsia"/>
            </w:rPr>
            <w:t>可否由他人代为现场报名</w:t>
          </w:r>
          <w:r>
            <w:rPr>
              <w:rStyle w:val="9"/>
            </w:rPr>
            <w:t>?</w:t>
          </w:r>
          <w:r>
            <w:tab/>
          </w:r>
          <w:r>
            <w:fldChar w:fldCharType="begin"/>
          </w:r>
          <w:r>
            <w:instrText xml:space="preserve"> PAGEREF _Toc23930309 \h </w:instrText>
          </w:r>
          <w:r>
            <w:fldChar w:fldCharType="separate"/>
          </w:r>
          <w:r>
            <w:t>2</w:t>
          </w:r>
          <w:r>
            <w:fldChar w:fldCharType="end"/>
          </w:r>
          <w:r>
            <w:fldChar w:fldCharType="end"/>
          </w:r>
        </w:p>
        <w:p>
          <w:pPr>
            <w:pStyle w:val="6"/>
          </w:pPr>
          <w:r>
            <w:fldChar w:fldCharType="begin"/>
          </w:r>
          <w:r>
            <w:instrText xml:space="preserve"> HYPERLINK \l "_Toc23930310" </w:instrText>
          </w:r>
          <w:r>
            <w:fldChar w:fldCharType="separate"/>
          </w:r>
          <w:r>
            <w:rPr>
              <w:rStyle w:val="9"/>
            </w:rPr>
            <w:t>2.</w:t>
          </w:r>
          <w:r>
            <w:tab/>
          </w:r>
          <w:r>
            <w:rPr>
              <w:rStyle w:val="9"/>
              <w:rFonts w:hint="eastAsia"/>
            </w:rPr>
            <w:t>在企业工作，不能提供劳动合同或工资证明、社保证明，只能提供企业证明的，能否作为工作经历的证明</w:t>
          </w:r>
          <w:r>
            <w:rPr>
              <w:rStyle w:val="9"/>
            </w:rPr>
            <w:t>?</w:t>
          </w:r>
          <w:r>
            <w:tab/>
          </w:r>
          <w:r>
            <w:fldChar w:fldCharType="begin"/>
          </w:r>
          <w:r>
            <w:instrText xml:space="preserve"> PAGEREF _Toc23930310 \h </w:instrText>
          </w:r>
          <w:r>
            <w:fldChar w:fldCharType="separate"/>
          </w:r>
          <w:r>
            <w:t>2</w:t>
          </w:r>
          <w:r>
            <w:fldChar w:fldCharType="end"/>
          </w:r>
          <w:r>
            <w:fldChar w:fldCharType="end"/>
          </w:r>
        </w:p>
        <w:p>
          <w:pPr>
            <w:pStyle w:val="6"/>
          </w:pPr>
          <w:r>
            <w:fldChar w:fldCharType="begin"/>
          </w:r>
          <w:r>
            <w:instrText xml:space="preserve"> HYPERLINK \l "_Toc23930311" </w:instrText>
          </w:r>
          <w:r>
            <w:fldChar w:fldCharType="separate"/>
          </w:r>
          <w:r>
            <w:rPr>
              <w:rStyle w:val="9"/>
            </w:rPr>
            <w:t>3.</w:t>
          </w:r>
          <w:r>
            <w:tab/>
          </w:r>
          <w:r>
            <w:rPr>
              <w:rStyle w:val="9"/>
              <w:rFonts w:hint="eastAsia"/>
            </w:rPr>
            <w:t>招聘专业有何要求</w:t>
          </w:r>
          <w:r>
            <w:rPr>
              <w:rStyle w:val="9"/>
            </w:rPr>
            <w:t>?</w:t>
          </w:r>
          <w:r>
            <w:tab/>
          </w:r>
          <w:r>
            <w:fldChar w:fldCharType="begin"/>
          </w:r>
          <w:r>
            <w:instrText xml:space="preserve"> PAGEREF _Toc23930311 \h </w:instrText>
          </w:r>
          <w:r>
            <w:fldChar w:fldCharType="separate"/>
          </w:r>
          <w:r>
            <w:t>2</w:t>
          </w:r>
          <w:r>
            <w:fldChar w:fldCharType="end"/>
          </w:r>
          <w:r>
            <w:fldChar w:fldCharType="end"/>
          </w:r>
        </w:p>
        <w:p>
          <w:pPr>
            <w:pStyle w:val="6"/>
          </w:pPr>
          <w:r>
            <w:fldChar w:fldCharType="begin"/>
          </w:r>
          <w:r>
            <w:instrText xml:space="preserve"> HYPERLINK \l "_Toc23930312" </w:instrText>
          </w:r>
          <w:r>
            <w:fldChar w:fldCharType="separate"/>
          </w:r>
          <w:r>
            <w:rPr>
              <w:rStyle w:val="9"/>
            </w:rPr>
            <w:t>4.</w:t>
          </w:r>
          <w:r>
            <w:tab/>
          </w:r>
          <w:r>
            <w:rPr>
              <w:rStyle w:val="9"/>
              <w:rFonts w:hint="eastAsia"/>
            </w:rPr>
            <w:t>如何理解“学历”、“学位”要求</w:t>
          </w:r>
          <w:r>
            <w:rPr>
              <w:rStyle w:val="9"/>
            </w:rPr>
            <w:t>?</w:t>
          </w:r>
          <w:r>
            <w:tab/>
          </w:r>
          <w:r>
            <w:fldChar w:fldCharType="begin"/>
          </w:r>
          <w:r>
            <w:instrText xml:space="preserve"> PAGEREF _Toc23930312 \h </w:instrText>
          </w:r>
          <w:r>
            <w:fldChar w:fldCharType="separate"/>
          </w:r>
          <w:r>
            <w:t>3</w:t>
          </w:r>
          <w:r>
            <w:fldChar w:fldCharType="end"/>
          </w:r>
          <w:r>
            <w:fldChar w:fldCharType="end"/>
          </w:r>
        </w:p>
        <w:p>
          <w:pPr>
            <w:pStyle w:val="6"/>
          </w:pPr>
          <w:r>
            <w:fldChar w:fldCharType="begin"/>
          </w:r>
          <w:r>
            <w:instrText xml:space="preserve"> HYPERLINK \l "_Toc23930313" </w:instrText>
          </w:r>
          <w:r>
            <w:fldChar w:fldCharType="separate"/>
          </w:r>
          <w:r>
            <w:rPr>
              <w:rStyle w:val="9"/>
            </w:rPr>
            <w:t>5.</w:t>
          </w:r>
          <w:r>
            <w:tab/>
          </w:r>
          <w:r>
            <w:rPr>
              <w:rStyle w:val="9"/>
              <w:rFonts w:hint="eastAsia"/>
            </w:rPr>
            <w:t>报考人员最高学历专业与招聘岗位要求的学历专业不同，可否用非最高学历专业报考</w:t>
          </w:r>
          <w:r>
            <w:rPr>
              <w:rStyle w:val="9"/>
            </w:rPr>
            <w:t>?</w:t>
          </w:r>
          <w:r>
            <w:tab/>
          </w:r>
          <w:r>
            <w:fldChar w:fldCharType="begin"/>
          </w:r>
          <w:r>
            <w:instrText xml:space="preserve"> PAGEREF _Toc23930313 \h </w:instrText>
          </w:r>
          <w:r>
            <w:fldChar w:fldCharType="separate"/>
          </w:r>
          <w:r>
            <w:t>3</w:t>
          </w:r>
          <w:r>
            <w:fldChar w:fldCharType="end"/>
          </w:r>
          <w:r>
            <w:fldChar w:fldCharType="end"/>
          </w:r>
        </w:p>
        <w:p>
          <w:pPr>
            <w:pStyle w:val="6"/>
          </w:pPr>
          <w:r>
            <w:fldChar w:fldCharType="begin"/>
          </w:r>
          <w:r>
            <w:instrText xml:space="preserve"> HYPERLINK \l "_Toc23930314" </w:instrText>
          </w:r>
          <w:r>
            <w:fldChar w:fldCharType="separate"/>
          </w:r>
          <w:r>
            <w:rPr>
              <w:rStyle w:val="9"/>
            </w:rPr>
            <w:t>6.</w:t>
          </w:r>
          <w:r>
            <w:tab/>
          </w:r>
          <w:r>
            <w:rPr>
              <w:rStyle w:val="9"/>
              <w:rFonts w:hint="eastAsia"/>
            </w:rPr>
            <w:t>获“双学位”的报考人员，是否可以用第二学位证书上的专业来报考招聘岗位要求的专业</w:t>
          </w:r>
          <w:r>
            <w:rPr>
              <w:rStyle w:val="9"/>
            </w:rPr>
            <w:t>?</w:t>
          </w:r>
          <w:r>
            <w:tab/>
          </w:r>
          <w:r>
            <w:fldChar w:fldCharType="begin"/>
          </w:r>
          <w:r>
            <w:instrText xml:space="preserve"> PAGEREF _Toc23930314 \h </w:instrText>
          </w:r>
          <w:r>
            <w:fldChar w:fldCharType="separate"/>
          </w:r>
          <w:r>
            <w:t>3</w:t>
          </w:r>
          <w:r>
            <w:fldChar w:fldCharType="end"/>
          </w:r>
          <w:r>
            <w:fldChar w:fldCharType="end"/>
          </w:r>
        </w:p>
        <w:p>
          <w:pPr>
            <w:pStyle w:val="6"/>
          </w:pPr>
          <w:r>
            <w:fldChar w:fldCharType="begin"/>
          </w:r>
          <w:r>
            <w:instrText xml:space="preserve"> HYPERLINK \l "_Toc23930315" </w:instrText>
          </w:r>
          <w:r>
            <w:fldChar w:fldCharType="separate"/>
          </w:r>
          <w:r>
            <w:rPr>
              <w:rStyle w:val="9"/>
            </w:rPr>
            <w:t>7.</w:t>
          </w:r>
          <w:r>
            <w:tab/>
          </w:r>
          <w:r>
            <w:rPr>
              <w:rStyle w:val="9"/>
              <w:rFonts w:hint="eastAsia"/>
            </w:rPr>
            <w:t>哪些情形的考生可以获得笔试加分</w:t>
          </w:r>
          <w:r>
            <w:rPr>
              <w:rStyle w:val="9"/>
            </w:rPr>
            <w:t>?</w:t>
          </w:r>
          <w:r>
            <w:tab/>
          </w:r>
          <w:r>
            <w:fldChar w:fldCharType="begin"/>
          </w:r>
          <w:r>
            <w:instrText xml:space="preserve"> PAGEREF _Toc23930315 \h </w:instrText>
          </w:r>
          <w:r>
            <w:fldChar w:fldCharType="separate"/>
          </w:r>
          <w:r>
            <w:t>4</w:t>
          </w:r>
          <w:r>
            <w:fldChar w:fldCharType="end"/>
          </w:r>
          <w:r>
            <w:fldChar w:fldCharType="end"/>
          </w:r>
        </w:p>
        <w:p>
          <w:pPr>
            <w:pStyle w:val="6"/>
          </w:pPr>
          <w:r>
            <w:fldChar w:fldCharType="begin"/>
          </w:r>
          <w:r>
            <w:instrText xml:space="preserve"> HYPERLINK \l "_Toc23930316" </w:instrText>
          </w:r>
          <w:r>
            <w:fldChar w:fldCharType="separate"/>
          </w:r>
          <w:r>
            <w:rPr>
              <w:rStyle w:val="9"/>
            </w:rPr>
            <w:t>8.</w:t>
          </w:r>
          <w:r>
            <w:tab/>
          </w:r>
          <w:r>
            <w:rPr>
              <w:rStyle w:val="9"/>
              <w:rFonts w:hint="eastAsia"/>
            </w:rPr>
            <w:t>取得高级工和技师</w:t>
          </w:r>
          <w:r>
            <w:rPr>
              <w:rStyle w:val="9"/>
            </w:rPr>
            <w:t>(</w:t>
          </w:r>
          <w:r>
            <w:rPr>
              <w:rStyle w:val="9"/>
              <w:rFonts w:hint="eastAsia"/>
            </w:rPr>
            <w:t>高级技师</w:t>
          </w:r>
          <w:r>
            <w:rPr>
              <w:rStyle w:val="9"/>
            </w:rPr>
            <w:t>)</w:t>
          </w:r>
          <w:r>
            <w:rPr>
              <w:rStyle w:val="9"/>
              <w:rFonts w:hint="eastAsia"/>
            </w:rPr>
            <w:t>职业资格证书的我省技工院校的毕业生可否按大专学历报考</w:t>
          </w:r>
          <w:r>
            <w:rPr>
              <w:rStyle w:val="9"/>
            </w:rPr>
            <w:t>?</w:t>
          </w:r>
          <w:r>
            <w:tab/>
          </w:r>
          <w:r>
            <w:fldChar w:fldCharType="begin"/>
          </w:r>
          <w:r>
            <w:instrText xml:space="preserve"> PAGEREF _Toc23930316 \h </w:instrText>
          </w:r>
          <w:r>
            <w:fldChar w:fldCharType="separate"/>
          </w:r>
          <w:r>
            <w:t>4</w:t>
          </w:r>
          <w:r>
            <w:fldChar w:fldCharType="end"/>
          </w:r>
          <w:r>
            <w:fldChar w:fldCharType="end"/>
          </w:r>
        </w:p>
        <w:p>
          <w:pPr>
            <w:pStyle w:val="6"/>
          </w:pPr>
          <w:r>
            <w:fldChar w:fldCharType="begin"/>
          </w:r>
          <w:r>
            <w:instrText xml:space="preserve"> HYPERLINK \l "_Toc23930317" </w:instrText>
          </w:r>
          <w:r>
            <w:fldChar w:fldCharType="separate"/>
          </w:r>
          <w:r>
            <w:rPr>
              <w:rStyle w:val="9"/>
            </w:rPr>
            <w:t>9.</w:t>
          </w:r>
          <w:r>
            <w:tab/>
          </w:r>
          <w:r>
            <w:rPr>
              <w:rStyle w:val="9"/>
              <w:rFonts w:hint="eastAsia"/>
            </w:rPr>
            <w:t>如何理解“构成回避关系”的岗位</w:t>
          </w:r>
          <w:r>
            <w:rPr>
              <w:rStyle w:val="9"/>
            </w:rPr>
            <w:t>?</w:t>
          </w:r>
          <w:r>
            <w:tab/>
          </w:r>
          <w:r>
            <w:fldChar w:fldCharType="begin"/>
          </w:r>
          <w:r>
            <w:instrText xml:space="preserve"> PAGEREF _Toc23930317 \h </w:instrText>
          </w:r>
          <w:r>
            <w:fldChar w:fldCharType="separate"/>
          </w:r>
          <w:r>
            <w:t>4</w:t>
          </w:r>
          <w:r>
            <w:fldChar w:fldCharType="end"/>
          </w:r>
          <w:r>
            <w:fldChar w:fldCharType="end"/>
          </w:r>
        </w:p>
        <w:p>
          <w:pPr>
            <w:pStyle w:val="6"/>
          </w:pPr>
          <w:r>
            <w:fldChar w:fldCharType="begin"/>
          </w:r>
          <w:r>
            <w:instrText xml:space="preserve"> HYPERLINK \l "_Toc23930318" </w:instrText>
          </w:r>
          <w:r>
            <w:fldChar w:fldCharType="separate"/>
          </w:r>
          <w:r>
            <w:rPr>
              <w:rStyle w:val="9"/>
            </w:rPr>
            <w:t>10.</w:t>
          </w:r>
          <w:r>
            <w:tab/>
          </w:r>
          <w:r>
            <w:rPr>
              <w:rStyle w:val="9"/>
              <w:rFonts w:hint="eastAsia"/>
            </w:rPr>
            <w:t>如何理解全日制学历？</w:t>
          </w:r>
          <w:r>
            <w:tab/>
          </w:r>
          <w:r>
            <w:fldChar w:fldCharType="begin"/>
          </w:r>
          <w:r>
            <w:instrText xml:space="preserve"> PAGEREF _Toc23930318 \h </w:instrText>
          </w:r>
          <w:r>
            <w:fldChar w:fldCharType="separate"/>
          </w:r>
          <w:r>
            <w:t>4</w:t>
          </w:r>
          <w:r>
            <w:fldChar w:fldCharType="end"/>
          </w:r>
          <w:r>
            <w:fldChar w:fldCharType="end"/>
          </w:r>
        </w:p>
        <w:p>
          <w:pPr>
            <w:pStyle w:val="6"/>
          </w:pPr>
          <w:r>
            <w:fldChar w:fldCharType="begin"/>
          </w:r>
          <w:r>
            <w:instrText xml:space="preserve"> HYPERLINK \l "_Toc23930319" </w:instrText>
          </w:r>
          <w:r>
            <w:fldChar w:fldCharType="separate"/>
          </w:r>
          <w:r>
            <w:rPr>
              <w:rStyle w:val="9"/>
            </w:rPr>
            <w:t>11.</w:t>
          </w:r>
          <w:r>
            <w:tab/>
          </w:r>
          <w:r>
            <w:rPr>
              <w:rStyle w:val="9"/>
              <w:rFonts w:hint="eastAsia"/>
            </w:rPr>
            <w:t>广东省普通高等学校毕业生就业择业期的适用对象有哪些？</w:t>
          </w:r>
          <w:r>
            <w:tab/>
          </w:r>
          <w:r>
            <w:fldChar w:fldCharType="begin"/>
          </w:r>
          <w:r>
            <w:instrText xml:space="preserve"> PAGEREF _Toc23930319 \h </w:instrText>
          </w:r>
          <w:r>
            <w:fldChar w:fldCharType="separate"/>
          </w:r>
          <w:r>
            <w:t>5</w:t>
          </w:r>
          <w:r>
            <w:fldChar w:fldCharType="end"/>
          </w:r>
          <w:r>
            <w:fldChar w:fldCharType="end"/>
          </w:r>
        </w:p>
        <w:p>
          <w:pPr>
            <w:pStyle w:val="6"/>
          </w:pPr>
          <w:r>
            <w:fldChar w:fldCharType="begin"/>
          </w:r>
          <w:r>
            <w:instrText xml:space="preserve"> HYPERLINK \l "_Toc23930320" </w:instrText>
          </w:r>
          <w:r>
            <w:fldChar w:fldCharType="separate"/>
          </w:r>
          <w:r>
            <w:rPr>
              <w:rStyle w:val="9"/>
            </w:rPr>
            <w:t>12.</w:t>
          </w:r>
          <w:r>
            <w:tab/>
          </w:r>
          <w:r>
            <w:rPr>
              <w:rStyle w:val="9"/>
              <w:rFonts w:hint="eastAsia"/>
            </w:rPr>
            <w:t>择业期的适用期限是多长时间？</w:t>
          </w:r>
          <w:r>
            <w:tab/>
          </w:r>
          <w:r>
            <w:fldChar w:fldCharType="begin"/>
          </w:r>
          <w:r>
            <w:instrText xml:space="preserve"> PAGEREF _Toc23930320 \h </w:instrText>
          </w:r>
          <w:r>
            <w:fldChar w:fldCharType="separate"/>
          </w:r>
          <w:r>
            <w:t>5</w:t>
          </w:r>
          <w:r>
            <w:fldChar w:fldCharType="end"/>
          </w:r>
          <w:r>
            <w:fldChar w:fldCharType="end"/>
          </w:r>
        </w:p>
        <w:p>
          <w:pPr>
            <w:pStyle w:val="6"/>
          </w:pPr>
          <w:r>
            <w:fldChar w:fldCharType="begin"/>
          </w:r>
          <w:r>
            <w:instrText xml:space="preserve"> HYPERLINK \l "_Toc23930321" </w:instrText>
          </w:r>
          <w:r>
            <w:fldChar w:fldCharType="separate"/>
          </w:r>
          <w:r>
            <w:rPr>
              <w:rStyle w:val="9"/>
            </w:rPr>
            <w:t>13.</w:t>
          </w:r>
          <w:r>
            <w:tab/>
          </w:r>
          <w:r>
            <w:rPr>
              <w:rStyle w:val="9"/>
              <w:rFonts w:hint="eastAsia"/>
            </w:rPr>
            <w:t>如果居民身份证遗失或正在办理中，怎样处理方可参加考试或体检</w:t>
          </w:r>
          <w:r>
            <w:rPr>
              <w:rStyle w:val="9"/>
            </w:rPr>
            <w:t>?</w:t>
          </w:r>
          <w:r>
            <w:tab/>
          </w:r>
          <w:r>
            <w:fldChar w:fldCharType="begin"/>
          </w:r>
          <w:r>
            <w:instrText xml:space="preserve"> PAGEREF _Toc23930321 \h </w:instrText>
          </w:r>
          <w:r>
            <w:fldChar w:fldCharType="separate"/>
          </w:r>
          <w:r>
            <w:t>5</w:t>
          </w:r>
          <w:r>
            <w:fldChar w:fldCharType="end"/>
          </w:r>
          <w:r>
            <w:fldChar w:fldCharType="end"/>
          </w:r>
        </w:p>
        <w:p>
          <w:pPr>
            <w:pStyle w:val="6"/>
          </w:pPr>
          <w:r>
            <w:fldChar w:fldCharType="begin"/>
          </w:r>
          <w:r>
            <w:instrText xml:space="preserve"> HYPERLINK \l "_Toc23930322" </w:instrText>
          </w:r>
          <w:r>
            <w:fldChar w:fldCharType="separate"/>
          </w:r>
          <w:r>
            <w:rPr>
              <w:rStyle w:val="9"/>
            </w:rPr>
            <w:t>14.</w:t>
          </w:r>
          <w:r>
            <w:tab/>
          </w:r>
          <w:r>
            <w:rPr>
              <w:rStyle w:val="9"/>
              <w:rFonts w:hint="eastAsia"/>
            </w:rPr>
            <w:t>居民户口本、护照、工作证、驾驶执照、学生证等证件能否代替居民身份证参加考试或体检</w:t>
          </w:r>
          <w:r>
            <w:rPr>
              <w:rStyle w:val="9"/>
            </w:rPr>
            <w:t>?</w:t>
          </w:r>
          <w:r>
            <w:tab/>
          </w:r>
          <w:r>
            <w:fldChar w:fldCharType="begin"/>
          </w:r>
          <w:r>
            <w:instrText xml:space="preserve"> PAGEREF _Toc23930322 \h </w:instrText>
          </w:r>
          <w:r>
            <w:fldChar w:fldCharType="separate"/>
          </w:r>
          <w:r>
            <w:t>6</w:t>
          </w:r>
          <w:r>
            <w:fldChar w:fldCharType="end"/>
          </w:r>
          <w:r>
            <w:fldChar w:fldCharType="end"/>
          </w:r>
        </w:p>
        <w:p>
          <w:pPr>
            <w:pStyle w:val="6"/>
          </w:pPr>
          <w:r>
            <w:fldChar w:fldCharType="begin"/>
          </w:r>
          <w:r>
            <w:instrText xml:space="preserve"> HYPERLINK \l "_Toc23930323" </w:instrText>
          </w:r>
          <w:r>
            <w:fldChar w:fldCharType="separate"/>
          </w:r>
          <w:r>
            <w:rPr>
              <w:rStyle w:val="9"/>
            </w:rPr>
            <w:t>15.</w:t>
          </w:r>
          <w:r>
            <w:tab/>
          </w:r>
          <w:r>
            <w:rPr>
              <w:rStyle w:val="9"/>
              <w:rFonts w:hint="eastAsia"/>
            </w:rPr>
            <w:t>居民身份证办理受理回执或户口所在地派出所开具的带有考生本人照片并加盖公章的居民身份证明，能否代替居民身份证参加考试或体检</w:t>
          </w:r>
          <w:r>
            <w:rPr>
              <w:rStyle w:val="9"/>
            </w:rPr>
            <w:t>?</w:t>
          </w:r>
          <w:r>
            <w:tab/>
          </w:r>
          <w:r>
            <w:fldChar w:fldCharType="begin"/>
          </w:r>
          <w:r>
            <w:instrText xml:space="preserve"> PAGEREF _Toc23930323 \h </w:instrText>
          </w:r>
          <w:r>
            <w:fldChar w:fldCharType="separate"/>
          </w:r>
          <w:r>
            <w:t>6</w:t>
          </w:r>
          <w:r>
            <w:fldChar w:fldCharType="end"/>
          </w:r>
          <w:r>
            <w:fldChar w:fldCharType="end"/>
          </w:r>
        </w:p>
        <w:p>
          <w:pPr>
            <w:pStyle w:val="6"/>
          </w:pPr>
          <w:r>
            <w:fldChar w:fldCharType="begin"/>
          </w:r>
          <w:r>
            <w:instrText xml:space="preserve"> HYPERLINK \l "_Toc23930324" </w:instrText>
          </w:r>
          <w:r>
            <w:fldChar w:fldCharType="separate"/>
          </w:r>
          <w:r>
            <w:rPr>
              <w:rStyle w:val="9"/>
            </w:rPr>
            <w:t>16.</w:t>
          </w:r>
          <w:r>
            <w:tab/>
          </w:r>
          <w:r>
            <w:rPr>
              <w:rStyle w:val="9"/>
              <w:rFonts w:hint="eastAsia"/>
            </w:rPr>
            <w:t>考试期间，哪些行为属于手机使用的情形，会受到什么处理</w:t>
          </w:r>
          <w:r>
            <w:rPr>
              <w:rStyle w:val="9"/>
            </w:rPr>
            <w:t>?</w:t>
          </w:r>
          <w:r>
            <w:tab/>
          </w:r>
          <w:r>
            <w:fldChar w:fldCharType="begin"/>
          </w:r>
          <w:r>
            <w:instrText xml:space="preserve"> PAGEREF _Toc23930324 \h </w:instrText>
          </w:r>
          <w:r>
            <w:fldChar w:fldCharType="separate"/>
          </w:r>
          <w:r>
            <w:t>7</w:t>
          </w:r>
          <w:r>
            <w:fldChar w:fldCharType="end"/>
          </w:r>
          <w:r>
            <w:fldChar w:fldCharType="end"/>
          </w:r>
        </w:p>
        <w:p>
          <w:pPr>
            <w:pStyle w:val="6"/>
          </w:pPr>
          <w:r>
            <w:fldChar w:fldCharType="begin"/>
          </w:r>
          <w:r>
            <w:instrText xml:space="preserve"> HYPERLINK \l "_Toc23930325" </w:instrText>
          </w:r>
          <w:r>
            <w:fldChar w:fldCharType="separate"/>
          </w:r>
          <w:r>
            <w:rPr>
              <w:rStyle w:val="9"/>
            </w:rPr>
            <w:t>17.</w:t>
          </w:r>
          <w:r>
            <w:tab/>
          </w:r>
          <w:r>
            <w:rPr>
              <w:rStyle w:val="9"/>
              <w:rFonts w:hint="eastAsia"/>
            </w:rPr>
            <w:t>报考者携带手机但未使用，会受到什么处理</w:t>
          </w:r>
          <w:r>
            <w:rPr>
              <w:rStyle w:val="9"/>
            </w:rPr>
            <w:t>?</w:t>
          </w:r>
          <w:r>
            <w:tab/>
          </w:r>
          <w:r>
            <w:fldChar w:fldCharType="begin"/>
          </w:r>
          <w:r>
            <w:instrText xml:space="preserve"> PAGEREF _Toc23930325 \h </w:instrText>
          </w:r>
          <w:r>
            <w:fldChar w:fldCharType="separate"/>
          </w:r>
          <w:r>
            <w:t>7</w:t>
          </w:r>
          <w:r>
            <w:fldChar w:fldCharType="end"/>
          </w:r>
          <w:r>
            <w:fldChar w:fldCharType="end"/>
          </w:r>
        </w:p>
        <w:p>
          <w:pPr>
            <w:pStyle w:val="6"/>
          </w:pPr>
          <w:r>
            <w:fldChar w:fldCharType="begin"/>
          </w:r>
          <w:r>
            <w:instrText xml:space="preserve"> HYPERLINK \l "_Toc23930326" </w:instrText>
          </w:r>
          <w:r>
            <w:fldChar w:fldCharType="separate"/>
          </w:r>
          <w:r>
            <w:rPr>
              <w:rStyle w:val="9"/>
            </w:rPr>
            <w:t>18.</w:t>
          </w:r>
          <w:r>
            <w:tab/>
          </w:r>
          <w:r>
            <w:rPr>
              <w:rStyle w:val="9"/>
              <w:rFonts w:hint="eastAsia"/>
            </w:rPr>
            <w:t>如何查询笔试成绩和笔试合格分数线</w:t>
          </w:r>
          <w:r>
            <w:rPr>
              <w:rStyle w:val="9"/>
            </w:rPr>
            <w:t>?</w:t>
          </w:r>
          <w:r>
            <w:tab/>
          </w:r>
          <w:r>
            <w:fldChar w:fldCharType="begin"/>
          </w:r>
          <w:r>
            <w:instrText xml:space="preserve"> PAGEREF _Toc23930326 \h </w:instrText>
          </w:r>
          <w:r>
            <w:fldChar w:fldCharType="separate"/>
          </w:r>
          <w:r>
            <w:t>8</w:t>
          </w:r>
          <w:r>
            <w:fldChar w:fldCharType="end"/>
          </w:r>
          <w:r>
            <w:fldChar w:fldCharType="end"/>
          </w:r>
        </w:p>
        <w:p>
          <w:pPr>
            <w:pStyle w:val="6"/>
          </w:pPr>
          <w:r>
            <w:fldChar w:fldCharType="begin"/>
          </w:r>
          <w:r>
            <w:instrText xml:space="preserve"> HYPERLINK \l "_Toc23930327" </w:instrText>
          </w:r>
          <w:r>
            <w:fldChar w:fldCharType="separate"/>
          </w:r>
          <w:r>
            <w:rPr>
              <w:rStyle w:val="9"/>
            </w:rPr>
            <w:t>19.</w:t>
          </w:r>
          <w:r>
            <w:tab/>
          </w:r>
          <w:r>
            <w:rPr>
              <w:rStyle w:val="9"/>
              <w:rFonts w:hint="eastAsia"/>
            </w:rPr>
            <w:t>本报考指南适用范围如何</w:t>
          </w:r>
          <w:r>
            <w:rPr>
              <w:rStyle w:val="9"/>
            </w:rPr>
            <w:t>?</w:t>
          </w:r>
          <w:r>
            <w:tab/>
          </w:r>
          <w:r>
            <w:fldChar w:fldCharType="begin"/>
          </w:r>
          <w:r>
            <w:instrText xml:space="preserve"> PAGEREF _Toc23930327 \h </w:instrText>
          </w:r>
          <w:r>
            <w:fldChar w:fldCharType="separate"/>
          </w:r>
          <w:r>
            <w:t>8</w:t>
          </w:r>
          <w:r>
            <w:fldChar w:fldCharType="end"/>
          </w:r>
          <w:r>
            <w:fldChar w:fldCharType="end"/>
          </w:r>
          <w:r>
            <w:fldChar w:fldCharType="end"/>
          </w:r>
        </w:p>
      </w:sdtContent>
    </w:sdt>
    <w:p>
      <w:pPr>
        <w:pStyle w:val="2"/>
        <w:numPr>
          <w:ilvl w:val="0"/>
          <w:numId w:val="1"/>
        </w:numPr>
        <w:spacing w:before="312"/>
        <w:ind w:firstLineChars="0"/>
        <w:rPr>
          <w:szCs w:val="32"/>
        </w:rPr>
      </w:pPr>
      <w:bookmarkStart w:id="0" w:name="_Toc23930309"/>
      <w:r>
        <w:rPr>
          <w:rFonts w:hint="eastAsia"/>
          <w:szCs w:val="32"/>
        </w:rPr>
        <w:t>可否由他人代为现场报名?</w:t>
      </w:r>
      <w:bookmarkEnd w:id="0"/>
    </w:p>
    <w:p>
      <w:pPr>
        <w:ind w:firstLine="560" w:firstLineChars="200"/>
        <w:rPr>
          <w:rFonts w:ascii="华文仿宋" w:hAnsi="华文仿宋" w:eastAsia="华文仿宋"/>
          <w:sz w:val="28"/>
          <w:szCs w:val="28"/>
        </w:rPr>
      </w:pPr>
      <w:r>
        <w:rPr>
          <w:rFonts w:hint="eastAsia" w:ascii="华文仿宋" w:hAnsi="华文仿宋" w:eastAsia="华文仿宋"/>
          <w:sz w:val="28"/>
          <w:szCs w:val="28"/>
        </w:rPr>
        <w:t>可以由代办人持考生的书面委托、身份证复印件及代办人的身份证(查看原件，收取复印件)代为报名。由考生的直系亲属(或家属)代为报名的，凭户口本(查看原件，收取复印件)和代办人身份证即可代为报名。</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代办人应带齐《招聘公告》所要求的报名材料及证书、证件和相关证明材料等。</w:t>
      </w:r>
    </w:p>
    <w:p>
      <w:pPr>
        <w:pStyle w:val="2"/>
        <w:numPr>
          <w:ilvl w:val="0"/>
          <w:numId w:val="1"/>
        </w:numPr>
        <w:spacing w:before="312"/>
        <w:ind w:left="0" w:firstLine="643" w:firstLineChars="0"/>
        <w:rPr>
          <w:szCs w:val="32"/>
        </w:rPr>
      </w:pPr>
      <w:bookmarkStart w:id="1" w:name="_Toc23930310"/>
      <w:r>
        <w:rPr>
          <w:rFonts w:hint="eastAsia"/>
          <w:szCs w:val="32"/>
        </w:rPr>
        <w:t>在企业工作，不能提供劳动合同或工资证明、社保证明，只能提供企业证明的，能否作为工作经历的证明?</w:t>
      </w:r>
      <w:bookmarkEnd w:id="1"/>
    </w:p>
    <w:p>
      <w:pPr>
        <w:ind w:firstLine="560" w:firstLineChars="200"/>
        <w:rPr>
          <w:rFonts w:ascii="华文仿宋" w:hAnsi="华文仿宋" w:eastAsia="华文仿宋"/>
          <w:sz w:val="28"/>
          <w:szCs w:val="28"/>
        </w:rPr>
      </w:pPr>
      <w:r>
        <w:rPr>
          <w:rFonts w:hint="eastAsia" w:ascii="华文仿宋" w:hAnsi="华文仿宋" w:eastAsia="华文仿宋"/>
          <w:sz w:val="28"/>
          <w:szCs w:val="28"/>
        </w:rPr>
        <w:t>只有企业出具的证明，不能作为工作经历证明。报名人员可提供其他佐证材料，以证明企业工作经历。如在规定时间内不能提供佐证材料，或所提供材料不足以证明的，不能通过资格审核。</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全日制学校毕业生在校期间的社会实践经历及参加相关工作的，即使与单位签订劳动合同并缴纳社会保险，也不视为工作经历。</w:t>
      </w:r>
    </w:p>
    <w:p>
      <w:pPr>
        <w:pStyle w:val="2"/>
        <w:numPr>
          <w:ilvl w:val="0"/>
          <w:numId w:val="1"/>
        </w:numPr>
        <w:spacing w:before="312"/>
        <w:ind w:firstLineChars="0"/>
      </w:pPr>
      <w:bookmarkStart w:id="2" w:name="_Toc23930311"/>
      <w:r>
        <w:rPr>
          <w:rFonts w:hint="eastAsia"/>
        </w:rPr>
        <w:t>招聘专业有何要求?</w:t>
      </w:r>
      <w:bookmarkEnd w:id="2"/>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报考人员应按专业目录中的名称和代码选择相对应的岗位报考。报考人员所学专业按所获毕业证书上的专业为准。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对含有两个以上培养方向的专业，如招聘岗位已明确具体培养方向的，报考人员须符合具体培养方向方可报考。</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报考人员不得报考所学专业代码与招聘岗位表专业代码不一致的岗位。所学专业未列入专业目录(没有专业代码)的，可选择专业目录中的相近专业报考，所学专业必修课程须与报考岗位要求专业的主要课程基本一致，并在报名时提供毕业证书(已毕业的)、所学专业课程成绩单(须教务处盖章)、院校出具的课程对比情况说明及毕业院校设置专业的依据等材料。</w:t>
      </w:r>
    </w:p>
    <w:p>
      <w:pPr>
        <w:pStyle w:val="2"/>
        <w:numPr>
          <w:ilvl w:val="0"/>
          <w:numId w:val="1"/>
        </w:numPr>
        <w:spacing w:before="312"/>
        <w:ind w:firstLineChars="0"/>
      </w:pPr>
      <w:bookmarkStart w:id="3" w:name="_Toc23930312"/>
      <w:r>
        <w:rPr>
          <w:rFonts w:hint="eastAsia"/>
        </w:rPr>
        <w:t>如何理解“学历”、“学位”要求?</w:t>
      </w:r>
      <w:bookmarkEnd w:id="3"/>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pPr>
        <w:pStyle w:val="2"/>
        <w:numPr>
          <w:ilvl w:val="0"/>
          <w:numId w:val="1"/>
        </w:numPr>
        <w:spacing w:before="312"/>
        <w:ind w:left="0" w:firstLine="643" w:firstLineChars="0"/>
      </w:pPr>
      <w:bookmarkStart w:id="4" w:name="_Toc23930313"/>
      <w:r>
        <w:rPr>
          <w:rFonts w:hint="eastAsia"/>
        </w:rPr>
        <w:t>报考人员最高学历专业与招聘岗位要求的学历专业不同，可否用非最高学历专业报考?</w:t>
      </w:r>
      <w:bookmarkEnd w:id="4"/>
    </w:p>
    <w:p>
      <w:pPr>
        <w:ind w:firstLine="560" w:firstLineChars="200"/>
        <w:rPr>
          <w:rFonts w:ascii="华文仿宋" w:hAnsi="华文仿宋" w:eastAsia="华文仿宋"/>
          <w:sz w:val="28"/>
          <w:szCs w:val="28"/>
        </w:rPr>
      </w:pPr>
      <w:r>
        <w:rPr>
          <w:rFonts w:hint="eastAsia" w:ascii="华文仿宋" w:hAnsi="华文仿宋" w:eastAsia="华文仿宋"/>
          <w:sz w:val="28"/>
          <w:szCs w:val="28"/>
        </w:rPr>
        <w:t>可以，但须提供符合招聘岗位专业要求的毕业证书、学位证书以及岗位要求的其他资格条件的证明材料。2019年国内普通高等院校应届毕业生也可用非最高学历专业报考，在报名时提供有效的应届毕业生材料，但2019年12月4日前未取得最高学历的毕业证书和学位证书的不予聘用。</w:t>
      </w:r>
    </w:p>
    <w:p>
      <w:pPr>
        <w:pStyle w:val="2"/>
        <w:numPr>
          <w:ilvl w:val="0"/>
          <w:numId w:val="1"/>
        </w:numPr>
        <w:spacing w:before="312"/>
        <w:ind w:left="0" w:firstLine="643" w:firstLineChars="0"/>
      </w:pPr>
      <w:bookmarkStart w:id="5" w:name="_Toc23930314"/>
      <w:r>
        <w:rPr>
          <w:rFonts w:hint="eastAsia"/>
        </w:rPr>
        <w:t>获“双学位”的报考人员，是否可以用第二学位证书上的专业来报考招聘岗位要求的专业?</w:t>
      </w:r>
      <w:bookmarkEnd w:id="5"/>
    </w:p>
    <w:p>
      <w:pPr>
        <w:ind w:firstLine="560" w:firstLineChars="200"/>
        <w:rPr>
          <w:rFonts w:ascii="华文仿宋" w:hAnsi="华文仿宋" w:eastAsia="华文仿宋"/>
          <w:sz w:val="28"/>
          <w:szCs w:val="28"/>
        </w:rPr>
      </w:pPr>
      <w:r>
        <w:rPr>
          <w:rFonts w:hint="eastAsia" w:ascii="华文仿宋" w:hAnsi="华文仿宋" w:eastAsia="华文仿宋"/>
          <w:sz w:val="28"/>
          <w:szCs w:val="28"/>
        </w:rPr>
        <w:t>获“双学位”的报考人员，可用第二学位证书上的专业报考，无需要提供该专业的毕业证书。</w:t>
      </w:r>
    </w:p>
    <w:p>
      <w:pPr>
        <w:pStyle w:val="2"/>
        <w:numPr>
          <w:ilvl w:val="0"/>
          <w:numId w:val="1"/>
        </w:numPr>
        <w:spacing w:before="312"/>
        <w:ind w:firstLineChars="0"/>
      </w:pPr>
      <w:bookmarkStart w:id="6" w:name="_Toc23930315"/>
      <w:r>
        <w:rPr>
          <w:rFonts w:hint="eastAsia"/>
        </w:rPr>
        <w:t>哪些情形的考生可以获得笔试加分?</w:t>
      </w:r>
      <w:bookmarkEnd w:id="6"/>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县、乡各类事业单位公开招聘的，笔试成绩加10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符合加分条件的考生，应在报名时提供相应证书原件及复印件交招聘单位审核，未提供相应材料的，不享受加分政策。</w:t>
      </w:r>
    </w:p>
    <w:p>
      <w:pPr>
        <w:pStyle w:val="2"/>
        <w:numPr>
          <w:ilvl w:val="0"/>
          <w:numId w:val="1"/>
        </w:numPr>
        <w:spacing w:before="312"/>
        <w:ind w:left="0" w:firstLine="643" w:firstLineChars="0"/>
      </w:pPr>
      <w:bookmarkStart w:id="7" w:name="_Toc23930316"/>
      <w:r>
        <w:rPr>
          <w:rFonts w:hint="eastAsia"/>
        </w:rPr>
        <w:t>取得高级工和技师(高级技师)职业资格证书的我省技工院校的毕业生可否按大专学历报考?</w:t>
      </w:r>
      <w:bookmarkEnd w:id="7"/>
    </w:p>
    <w:p>
      <w:pPr>
        <w:ind w:firstLine="560" w:firstLineChars="200"/>
        <w:rPr>
          <w:rFonts w:ascii="华文仿宋" w:hAnsi="华文仿宋" w:eastAsia="华文仿宋"/>
          <w:sz w:val="28"/>
          <w:szCs w:val="28"/>
        </w:rPr>
      </w:pPr>
      <w:r>
        <w:rPr>
          <w:rFonts w:hint="eastAsia" w:ascii="华文仿宋" w:hAnsi="华文仿宋" w:eastAsia="华文仿宋"/>
          <w:sz w:val="28"/>
          <w:szCs w:val="28"/>
        </w:rPr>
        <w:t>取得高级工和技师(高级技师)职业资格证书的我省技工院校的毕业生，在政策上视同大专(本科)学历人员，须于报名截止日前取得相应的毕业证书及职业资格证书。</w:t>
      </w:r>
    </w:p>
    <w:p>
      <w:pPr>
        <w:pStyle w:val="2"/>
        <w:numPr>
          <w:ilvl w:val="0"/>
          <w:numId w:val="1"/>
        </w:numPr>
        <w:spacing w:before="312"/>
        <w:ind w:firstLineChars="0"/>
      </w:pPr>
      <w:bookmarkStart w:id="8" w:name="_Toc23930317"/>
      <w:r>
        <w:rPr>
          <w:rFonts w:hint="eastAsia"/>
        </w:rPr>
        <w:t>如何理解“构成回避关系”的岗位?</w:t>
      </w:r>
      <w:bookmarkEnd w:id="8"/>
    </w:p>
    <w:p>
      <w:pPr>
        <w:ind w:firstLine="560" w:firstLineChars="200"/>
        <w:rPr>
          <w:rFonts w:ascii="华文仿宋" w:hAnsi="华文仿宋" w:eastAsia="华文仿宋"/>
          <w:sz w:val="28"/>
          <w:szCs w:val="28"/>
        </w:rPr>
      </w:pPr>
      <w:r>
        <w:rPr>
          <w:rFonts w:hint="eastAsia" w:ascii="华文仿宋" w:hAnsi="华文仿宋" w:eastAsia="华文仿宋"/>
          <w:sz w:val="28"/>
          <w:szCs w:val="28"/>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pStyle w:val="2"/>
        <w:numPr>
          <w:ilvl w:val="0"/>
          <w:numId w:val="1"/>
        </w:numPr>
        <w:spacing w:before="312"/>
        <w:ind w:firstLineChars="0"/>
      </w:pPr>
      <w:bookmarkStart w:id="9" w:name="_Toc23930318"/>
      <w:r>
        <w:rPr>
          <w:rFonts w:hint="eastAsia"/>
        </w:rPr>
        <w:t>如何理解全日制学历？</w:t>
      </w:r>
      <w:bookmarkEnd w:id="9"/>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中组部《关于全日制教育学历的认定条件》：干部在参加工作之后所取得的学历学位，按全日制教育掌握的，一般须同时符合以下条件：（1）通过参加全国统一的普通高校招生考试入学、达到入取分数线、经省级招办批准录取；（2）学习期间采取全天在校学习方式（即全脱产学习）；（3）学习期间须与原单位脱离工作关系和工资关系，转递本人档案；（4）毕业时颁发普通高等学校学历证书和学位证书，并重新派遣。否则，一般按在职教育掌握。</w:t>
      </w:r>
    </w:p>
    <w:p>
      <w:pPr>
        <w:pStyle w:val="2"/>
        <w:numPr>
          <w:ilvl w:val="0"/>
          <w:numId w:val="1"/>
        </w:numPr>
        <w:spacing w:before="312"/>
        <w:ind w:left="0" w:firstLine="643" w:firstLineChars="0"/>
      </w:pPr>
      <w:bookmarkStart w:id="10" w:name="_Toc23930319"/>
      <w:r>
        <w:rPr>
          <w:rFonts w:hint="eastAsia"/>
        </w:rPr>
        <w:t>广东省普通高等学校毕业生就业择业期的适用对象有哪些？</w:t>
      </w:r>
      <w:bookmarkEnd w:id="10"/>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（一）在广东省内就读的普通高等学校毕业生。</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（二）在广东省外就读回粤就业的广东省生源普通高等学校毕业生。</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（三）出国（境）留学回粤就业的广东省户籍高校毕业生。</w:t>
      </w:r>
    </w:p>
    <w:p>
      <w:pPr>
        <w:pStyle w:val="2"/>
        <w:numPr>
          <w:ilvl w:val="0"/>
          <w:numId w:val="1"/>
        </w:numPr>
        <w:spacing w:before="312"/>
        <w:ind w:firstLineChars="0"/>
      </w:pPr>
      <w:bookmarkStart w:id="11" w:name="_Toc23930320"/>
      <w:r>
        <w:rPr>
          <w:rFonts w:hint="eastAsia"/>
        </w:rPr>
        <w:t>择业期的适用期限是多长时间？</w:t>
      </w:r>
      <w:bookmarkEnd w:id="11"/>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（一）硕士研究生、本科生和专科生的择业期为毕业两年内。</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（二）博士研究生的择业期为毕业五年内。</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择业期从毕业证书落款日期起算。</w:t>
      </w:r>
    </w:p>
    <w:p>
      <w:pPr>
        <w:pStyle w:val="2"/>
        <w:numPr>
          <w:ilvl w:val="0"/>
          <w:numId w:val="1"/>
        </w:numPr>
        <w:spacing w:before="312"/>
        <w:ind w:left="0" w:firstLine="643" w:firstLineChars="0"/>
      </w:pPr>
      <w:bookmarkStart w:id="12" w:name="_Toc23930321"/>
      <w:r>
        <w:rPr>
          <w:rFonts w:hint="eastAsia"/>
        </w:rPr>
        <w:t>如果居民身份证遗失或正在办理中，怎样处理方可参加考试或体检?</w:t>
      </w:r>
      <w:bookmarkEnd w:id="12"/>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pStyle w:val="2"/>
        <w:numPr>
          <w:ilvl w:val="0"/>
          <w:numId w:val="1"/>
        </w:numPr>
        <w:spacing w:before="312"/>
        <w:ind w:left="0" w:firstLine="643" w:firstLineChars="0"/>
      </w:pPr>
      <w:bookmarkStart w:id="13" w:name="_Toc23930322"/>
      <w:r>
        <w:rPr>
          <w:rFonts w:hint="eastAsia"/>
        </w:rPr>
        <w:t>居民户口本、护照、工作证、驾驶执照、学生证等证件能否代替居民身份证参加考试或体检?</w:t>
      </w:r>
      <w:bookmarkEnd w:id="13"/>
    </w:p>
    <w:p>
      <w:pPr>
        <w:ind w:firstLine="560" w:firstLineChars="200"/>
        <w:rPr>
          <w:rFonts w:ascii="华文仿宋" w:hAnsi="华文仿宋" w:eastAsia="华文仿宋"/>
          <w:sz w:val="28"/>
          <w:szCs w:val="28"/>
        </w:rPr>
      </w:pPr>
      <w:r>
        <w:rPr>
          <w:rFonts w:hint="eastAsia" w:ascii="华文仿宋" w:hAnsi="华文仿宋" w:eastAsia="华文仿宋"/>
          <w:sz w:val="28"/>
          <w:szCs w:val="28"/>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pPr>
        <w:pStyle w:val="2"/>
        <w:numPr>
          <w:ilvl w:val="0"/>
          <w:numId w:val="1"/>
        </w:numPr>
        <w:spacing w:before="312"/>
        <w:ind w:left="0" w:firstLine="643" w:firstLineChars="0"/>
      </w:pPr>
      <w:bookmarkStart w:id="14" w:name="_Toc23930323"/>
      <w:r>
        <w:rPr>
          <w:rFonts w:hint="eastAsia"/>
        </w:rPr>
        <w:t>居民身份证办理受理回执或户口所在地派出所开具的带有考生本人照片并加盖公章的居民身份证明，能否代替居民身份证参加考试或体检?</w:t>
      </w:r>
      <w:bookmarkEnd w:id="14"/>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pPr>
        <w:pStyle w:val="2"/>
        <w:numPr>
          <w:ilvl w:val="0"/>
          <w:numId w:val="1"/>
        </w:numPr>
        <w:spacing w:before="312"/>
        <w:ind w:left="0" w:firstLine="643" w:firstLineChars="0"/>
      </w:pPr>
      <w:bookmarkStart w:id="15" w:name="_Toc23930324"/>
      <w:r>
        <w:rPr>
          <w:rFonts w:hint="eastAsia"/>
        </w:rPr>
        <w:t>考试期间，哪些行为属于手机使用的情形，会受到什么处理?</w:t>
      </w:r>
      <w:bookmarkEnd w:id="15"/>
    </w:p>
    <w:p>
      <w:pPr>
        <w:ind w:firstLine="560" w:firstLineChars="200"/>
        <w:rPr>
          <w:rFonts w:ascii="华文仿宋" w:hAnsi="华文仿宋" w:eastAsia="华文仿宋"/>
          <w:sz w:val="28"/>
          <w:szCs w:val="28"/>
        </w:rPr>
      </w:pPr>
      <w:r>
        <w:rPr>
          <w:rFonts w:hint="eastAsia" w:ascii="华文仿宋" w:hAnsi="华文仿宋" w:eastAsia="华文仿宋"/>
          <w:sz w:val="28"/>
          <w:szCs w:val="28"/>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报考者使用手机，适用《广东省事业单位公开招聘人员笔试工作规范》第(十三)条“使用禁止自带的通讯设备或者具有计算、存储功能电子设备的”，由事业单位考试机构或者招聘主管单位给予其取消本次考试资格的处理。</w:t>
      </w:r>
    </w:p>
    <w:p>
      <w:pPr>
        <w:pStyle w:val="2"/>
        <w:numPr>
          <w:ilvl w:val="0"/>
          <w:numId w:val="1"/>
        </w:numPr>
        <w:spacing w:before="312"/>
        <w:ind w:firstLineChars="0"/>
      </w:pPr>
      <w:bookmarkStart w:id="16" w:name="_Toc23930325"/>
      <w:r>
        <w:rPr>
          <w:rFonts w:hint="eastAsia"/>
        </w:rPr>
        <w:t>报考者携带手机但未使用，会受到什么处理?</w:t>
      </w:r>
      <w:bookmarkEnd w:id="16"/>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报考者携带手机进入考场未放在指定位置，但未使用手机，按《广东省事业单位公开招聘人员笔试工作规范》第(十三)条规定处理。报考者有此行为，当场发现经警告仍不改正的，由考试工作人员责令其离开考场，该科目(场次)考试成绩无效;事后发现的，由考试机构给予其该科目(场次)考试成绩无效的处理。</w:t>
      </w:r>
    </w:p>
    <w:p>
      <w:pPr>
        <w:pStyle w:val="2"/>
        <w:numPr>
          <w:ilvl w:val="0"/>
          <w:numId w:val="1"/>
        </w:numPr>
        <w:spacing w:before="312"/>
        <w:ind w:firstLineChars="0"/>
      </w:pPr>
      <w:bookmarkStart w:id="17" w:name="_Toc23930326"/>
      <w:r>
        <w:rPr>
          <w:rFonts w:hint="eastAsia"/>
        </w:rPr>
        <w:t>如何查询笔试成绩和笔试合格分数线?</w:t>
      </w:r>
      <w:bookmarkEnd w:id="17"/>
    </w:p>
    <w:p>
      <w:pPr>
        <w:ind w:firstLine="560" w:firstLineChars="200"/>
        <w:rPr>
          <w:rFonts w:ascii="华文仿宋" w:hAnsi="华文仿宋" w:eastAsia="华文仿宋"/>
          <w:sz w:val="28"/>
          <w:szCs w:val="28"/>
        </w:rPr>
      </w:pPr>
      <w:r>
        <w:rPr>
          <w:rFonts w:hint="eastAsia" w:ascii="华文仿宋" w:hAnsi="华文仿宋" w:eastAsia="华文仿宋"/>
          <w:sz w:val="28"/>
          <w:szCs w:val="28"/>
        </w:rPr>
        <w:t>笔试结束后10个工作日内，报考人员可凭本人姓名和准考证号查询笔试成绩;笔试合格分数线在梅州市梅江区人民政府网（http://www.meijiang.gov.cn）公布。</w:t>
      </w:r>
    </w:p>
    <w:p>
      <w:pPr>
        <w:pStyle w:val="2"/>
        <w:numPr>
          <w:ilvl w:val="0"/>
          <w:numId w:val="1"/>
        </w:numPr>
        <w:spacing w:before="312"/>
        <w:ind w:firstLineChars="0"/>
      </w:pPr>
      <w:bookmarkStart w:id="18" w:name="_Toc23930327"/>
      <w:r>
        <w:rPr>
          <w:rFonts w:hint="eastAsia"/>
        </w:rPr>
        <w:t>本报考指南适用范围如何?</w:t>
      </w:r>
      <w:bookmarkEnd w:id="18"/>
    </w:p>
    <w:p>
      <w:pPr>
        <w:ind w:firstLine="560" w:firstLineChars="200"/>
        <w:rPr>
          <w:rFonts w:ascii="华文仿宋" w:hAnsi="华文仿宋" w:eastAsia="华文仿宋"/>
          <w:sz w:val="28"/>
          <w:szCs w:val="28"/>
        </w:rPr>
      </w:pPr>
      <w:r>
        <w:rPr>
          <w:rFonts w:hint="eastAsia" w:ascii="华文仿宋" w:hAnsi="华文仿宋" w:eastAsia="华文仿宋"/>
          <w:sz w:val="28"/>
          <w:szCs w:val="28"/>
        </w:rPr>
        <w:t>仅适用于本次事业单位公开招聘考试。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441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B55C3"/>
    <w:multiLevelType w:val="multilevel"/>
    <w:tmpl w:val="614B55C3"/>
    <w:lvl w:ilvl="0" w:tentative="0">
      <w:start w:val="1"/>
      <w:numFmt w:val="decimal"/>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24"/>
    <w:rsid w:val="00007E81"/>
    <w:rsid w:val="000271A0"/>
    <w:rsid w:val="000278A4"/>
    <w:rsid w:val="00027974"/>
    <w:rsid w:val="000F42FB"/>
    <w:rsid w:val="001021F9"/>
    <w:rsid w:val="001216AE"/>
    <w:rsid w:val="00153EEF"/>
    <w:rsid w:val="0016126E"/>
    <w:rsid w:val="001D3766"/>
    <w:rsid w:val="001E72F0"/>
    <w:rsid w:val="002243DC"/>
    <w:rsid w:val="0022708A"/>
    <w:rsid w:val="00253250"/>
    <w:rsid w:val="00274A9F"/>
    <w:rsid w:val="0028131B"/>
    <w:rsid w:val="002C5E94"/>
    <w:rsid w:val="002C6D6B"/>
    <w:rsid w:val="002D0C63"/>
    <w:rsid w:val="002E0454"/>
    <w:rsid w:val="00357627"/>
    <w:rsid w:val="00365634"/>
    <w:rsid w:val="003D105F"/>
    <w:rsid w:val="003F3927"/>
    <w:rsid w:val="0040588B"/>
    <w:rsid w:val="00423BBC"/>
    <w:rsid w:val="00432B56"/>
    <w:rsid w:val="004449B5"/>
    <w:rsid w:val="004565D0"/>
    <w:rsid w:val="00457A3E"/>
    <w:rsid w:val="004736A3"/>
    <w:rsid w:val="004748E7"/>
    <w:rsid w:val="004A6F2E"/>
    <w:rsid w:val="004C5680"/>
    <w:rsid w:val="004F0FD4"/>
    <w:rsid w:val="005055DC"/>
    <w:rsid w:val="005432E2"/>
    <w:rsid w:val="00560AEB"/>
    <w:rsid w:val="0058360A"/>
    <w:rsid w:val="005B77AC"/>
    <w:rsid w:val="006062F8"/>
    <w:rsid w:val="006640FC"/>
    <w:rsid w:val="00692B44"/>
    <w:rsid w:val="006A075E"/>
    <w:rsid w:val="006A63AD"/>
    <w:rsid w:val="00707015"/>
    <w:rsid w:val="00745A21"/>
    <w:rsid w:val="007661F5"/>
    <w:rsid w:val="0078115F"/>
    <w:rsid w:val="0078609F"/>
    <w:rsid w:val="007912EE"/>
    <w:rsid w:val="007B3DFE"/>
    <w:rsid w:val="007C41D4"/>
    <w:rsid w:val="007F4D03"/>
    <w:rsid w:val="0081535C"/>
    <w:rsid w:val="008A2D58"/>
    <w:rsid w:val="0093671F"/>
    <w:rsid w:val="00960786"/>
    <w:rsid w:val="00996902"/>
    <w:rsid w:val="009B094F"/>
    <w:rsid w:val="009D2C02"/>
    <w:rsid w:val="009E0A5A"/>
    <w:rsid w:val="009E672D"/>
    <w:rsid w:val="009F223E"/>
    <w:rsid w:val="00A254A9"/>
    <w:rsid w:val="00A34595"/>
    <w:rsid w:val="00A43973"/>
    <w:rsid w:val="00A535CA"/>
    <w:rsid w:val="00AD2F55"/>
    <w:rsid w:val="00B00700"/>
    <w:rsid w:val="00B31073"/>
    <w:rsid w:val="00B318F4"/>
    <w:rsid w:val="00B8297B"/>
    <w:rsid w:val="00B8424A"/>
    <w:rsid w:val="00BE4A25"/>
    <w:rsid w:val="00C60AA6"/>
    <w:rsid w:val="00C73EBD"/>
    <w:rsid w:val="00CE5AE7"/>
    <w:rsid w:val="00D22DC8"/>
    <w:rsid w:val="00D42E76"/>
    <w:rsid w:val="00D53AC5"/>
    <w:rsid w:val="00D606B8"/>
    <w:rsid w:val="00D72FAA"/>
    <w:rsid w:val="00DE24DF"/>
    <w:rsid w:val="00DE74B3"/>
    <w:rsid w:val="00E0139E"/>
    <w:rsid w:val="00E336B6"/>
    <w:rsid w:val="00E33CD8"/>
    <w:rsid w:val="00E52226"/>
    <w:rsid w:val="00E70A9F"/>
    <w:rsid w:val="00EA116E"/>
    <w:rsid w:val="00EA1A6D"/>
    <w:rsid w:val="00EC205F"/>
    <w:rsid w:val="00F04382"/>
    <w:rsid w:val="00F316F7"/>
    <w:rsid w:val="00F4220B"/>
    <w:rsid w:val="00F82944"/>
    <w:rsid w:val="00FA3248"/>
    <w:rsid w:val="00FD2724"/>
    <w:rsid w:val="00FE5A7F"/>
    <w:rsid w:val="16DC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Lines="100"/>
      <w:ind w:firstLine="200" w:firstLineChars="200"/>
      <w:jc w:val="left"/>
      <w:outlineLvl w:val="0"/>
    </w:pPr>
    <w:rPr>
      <w:rFonts w:ascii="宋体" w:hAnsi="宋体" w:eastAsia="宋体" w:cs="宋体"/>
      <w:b/>
      <w:bCs/>
      <w:kern w:val="36"/>
      <w:sz w:val="2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pPr>
      <w:tabs>
        <w:tab w:val="left" w:pos="420"/>
        <w:tab w:val="right" w:leader="dot" w:pos="8296"/>
      </w:tabs>
      <w:spacing w:line="360" w:lineRule="auto"/>
      <w:ind w:left="424" w:hanging="424" w:hangingChars="202"/>
    </w:pPr>
  </w:style>
  <w:style w:type="character" w:styleId="9">
    <w:name w:val="Hyperlink"/>
    <w:basedOn w:val="8"/>
    <w:unhideWhenUsed/>
    <w:uiPriority w:val="99"/>
    <w:rPr>
      <w:color w:val="0000FF" w:themeColor="hyperlink"/>
      <w:u w:val="single"/>
    </w:rPr>
  </w:style>
  <w:style w:type="character" w:customStyle="1" w:styleId="10">
    <w:name w:val="页眉 Char"/>
    <w:basedOn w:val="8"/>
    <w:link w:val="5"/>
    <w:semiHidden/>
    <w:uiPriority w:val="99"/>
    <w:rPr>
      <w:sz w:val="18"/>
      <w:szCs w:val="18"/>
    </w:rPr>
  </w:style>
  <w:style w:type="character" w:customStyle="1" w:styleId="11">
    <w:name w:val="页脚 Char"/>
    <w:basedOn w:val="8"/>
    <w:link w:val="4"/>
    <w:uiPriority w:val="99"/>
    <w:rPr>
      <w:sz w:val="18"/>
      <w:szCs w:val="18"/>
    </w:rPr>
  </w:style>
  <w:style w:type="character" w:customStyle="1" w:styleId="12">
    <w:name w:val="标题 1 Char"/>
    <w:basedOn w:val="8"/>
    <w:link w:val="2"/>
    <w:uiPriority w:val="9"/>
    <w:rPr>
      <w:rFonts w:ascii="宋体" w:hAnsi="宋体" w:eastAsia="宋体" w:cs="宋体"/>
      <w:b/>
      <w:bCs/>
      <w:kern w:val="36"/>
      <w:sz w:val="28"/>
      <w:szCs w:val="48"/>
    </w:rPr>
  </w:style>
  <w:style w:type="character" w:customStyle="1" w:styleId="13">
    <w:name w:val="批注框文本 Char"/>
    <w:basedOn w:val="8"/>
    <w:link w:val="3"/>
    <w:semiHidden/>
    <w:uiPriority w:val="99"/>
    <w:rPr>
      <w:sz w:val="18"/>
      <w:szCs w:val="18"/>
    </w:rPr>
  </w:style>
  <w:style w:type="paragraph" w:styleId="14">
    <w:name w:val="List Paragraph"/>
    <w:basedOn w:val="1"/>
    <w:qFormat/>
    <w:uiPriority w:val="34"/>
    <w:pPr>
      <w:ind w:firstLine="420" w:firstLineChars="200"/>
    </w:pPr>
  </w:style>
  <w:style w:type="paragraph" w:customStyle="1" w:styleId="15">
    <w:name w:val="TOC Heading"/>
    <w:basedOn w:val="2"/>
    <w:next w:val="1"/>
    <w:semiHidden/>
    <w:unhideWhenUsed/>
    <w:qFormat/>
    <w:uiPriority w:val="39"/>
    <w:pPr>
      <w:keepNext/>
      <w:keepLines/>
      <w:spacing w:beforeLines="0" w:line="276" w:lineRule="auto"/>
      <w:ind w:firstLine="0" w:firstLineChars="0"/>
      <w:outlineLvl w:val="9"/>
    </w:pPr>
    <w:rPr>
      <w:rFonts w:asciiTheme="majorHAnsi" w:hAnsiTheme="majorHAnsi" w:eastAsiaTheme="majorEastAsia" w:cstheme="majorBidi"/>
      <w:color w:val="366091" w:themeColor="accent1" w:themeShade="BF"/>
      <w:kern w:val="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948FC-911C-4AC4-8460-16F0535327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753</Words>
  <Characters>4294</Characters>
  <Lines>35</Lines>
  <Paragraphs>10</Paragraphs>
  <TotalTime>165</TotalTime>
  <ScaleCrop>false</ScaleCrop>
  <LinksUpToDate>false</LinksUpToDate>
  <CharactersWithSpaces>5037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2018-03-02T02:46:00Z</dcterms:created>
  <dc:creator>AutoBVT</dc:creator>
  <cp:lastModifiedBy>张翠</cp:lastModifiedBy>
  <cp:lastPrinted>2018-10-16T06:59:00Z</cp:lastPrinted>
  <dcterms:modified xsi:type="dcterms:W3CDTF">2019-11-16T02:54:34Z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