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19" w:lineRule="auto"/>
        <w:ind w:left="11"/>
        <w:jc w:val="left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before="78" w:line="219" w:lineRule="auto"/>
        <w:ind w:left="11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技能测试考试方法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评分标准</w:t>
      </w:r>
    </w:p>
    <w:p>
      <w:pPr>
        <w:spacing w:before="78" w:line="219" w:lineRule="auto"/>
        <w:ind w:left="11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一、助跑摸高（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val="en-US" w:eastAsia="zh-CN"/>
        </w:rPr>
        <w:t>20分）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leftChars="0" w:firstLine="596" w:firstLineChars="200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考试方法：考生助跑起跳摸高，单手触摸固定标尺的高物，记录绝对高度。助跑距离和起跳方式不限。每人测试2次，取最好成绩（精确到厘米）。评分标准见下表。</w:t>
      </w:r>
    </w:p>
    <w:p>
      <w:pPr>
        <w:spacing w:line="113" w:lineRule="exact"/>
      </w:pPr>
    </w:p>
    <w:tbl>
      <w:tblPr>
        <w:tblStyle w:val="7"/>
        <w:tblW w:w="8235" w:type="dxa"/>
        <w:tblInd w:w="2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879"/>
        <w:gridCol w:w="974"/>
        <w:gridCol w:w="60"/>
        <w:gridCol w:w="793"/>
        <w:gridCol w:w="874"/>
        <w:gridCol w:w="907"/>
        <w:gridCol w:w="60"/>
        <w:gridCol w:w="793"/>
        <w:gridCol w:w="1077"/>
        <w:gridCol w:w="1079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39" w:type="dxa"/>
            <w:vMerge w:val="restart"/>
            <w:tcBorders>
              <w:bottom w:val="nil"/>
            </w:tcBorders>
            <w:shd w:val="clear" w:color="auto" w:fill="AEAAAA" w:themeFill="background2" w:themeFillShade="BF"/>
            <w:vAlign w:val="top"/>
          </w:tcPr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8" w:line="220" w:lineRule="auto"/>
              <w:ind w:left="165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853" w:type="dxa"/>
            <w:gridSpan w:val="2"/>
            <w:shd w:val="clear" w:color="auto" w:fill="AEAAAA" w:themeFill="background2" w:themeFillShade="BF"/>
            <w:vAlign w:val="top"/>
          </w:tcPr>
          <w:p>
            <w:pPr>
              <w:spacing w:before="109" w:line="217" w:lineRule="auto"/>
              <w:ind w:left="409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8"/>
                <w:sz w:val="21"/>
                <w:szCs w:val="21"/>
              </w:rPr>
              <w:t>成绩（米）</w:t>
            </w:r>
          </w:p>
        </w:tc>
        <w:tc>
          <w:tcPr>
            <w:tcW w:w="60" w:type="dxa"/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  <w:shd w:val="clear" w:color="auto" w:fill="AEAAAA" w:themeFill="background2" w:themeFillShade="BF"/>
            <w:vAlign w:val="top"/>
          </w:tcPr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8" w:line="220" w:lineRule="auto"/>
              <w:ind w:left="193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781" w:type="dxa"/>
            <w:gridSpan w:val="2"/>
            <w:shd w:val="clear" w:color="auto" w:fill="AEAAAA" w:themeFill="background2" w:themeFillShade="BF"/>
            <w:vAlign w:val="top"/>
          </w:tcPr>
          <w:p>
            <w:pPr>
              <w:spacing w:before="109" w:line="217" w:lineRule="auto"/>
              <w:ind w:left="375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8"/>
                <w:sz w:val="21"/>
                <w:szCs w:val="21"/>
              </w:rPr>
              <w:t>成绩（米）</w:t>
            </w:r>
          </w:p>
        </w:tc>
        <w:tc>
          <w:tcPr>
            <w:tcW w:w="60" w:type="dxa"/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  <w:shd w:val="clear" w:color="auto" w:fill="AEAAAA" w:themeFill="background2" w:themeFillShade="BF"/>
            <w:vAlign w:val="top"/>
          </w:tcPr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8" w:line="220" w:lineRule="auto"/>
              <w:ind w:left="195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2156" w:type="dxa"/>
            <w:gridSpan w:val="2"/>
            <w:shd w:val="clear" w:color="auto" w:fill="AEAAAA" w:themeFill="background2" w:themeFillShade="BF"/>
            <w:vAlign w:val="top"/>
          </w:tcPr>
          <w:p>
            <w:pPr>
              <w:spacing w:before="109" w:line="217" w:lineRule="auto"/>
              <w:ind w:left="563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8"/>
                <w:sz w:val="21"/>
                <w:szCs w:val="21"/>
              </w:rPr>
              <w:t>成绩（米）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9" w:type="dxa"/>
            <w:vMerge w:val="continue"/>
            <w:tcBorders>
              <w:top w:val="nil"/>
            </w:tcBorders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9" w:type="dxa"/>
            <w:shd w:val="clear" w:color="auto" w:fill="AEAAAA" w:themeFill="background2" w:themeFillShade="BF"/>
            <w:vAlign w:val="top"/>
          </w:tcPr>
          <w:p>
            <w:pPr>
              <w:spacing w:before="107" w:line="220" w:lineRule="auto"/>
              <w:ind w:left="349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974" w:type="dxa"/>
            <w:shd w:val="clear" w:color="auto" w:fill="AEAAAA" w:themeFill="background2" w:themeFillShade="BF"/>
            <w:vAlign w:val="top"/>
          </w:tcPr>
          <w:p>
            <w:pPr>
              <w:spacing w:before="106" w:line="220" w:lineRule="auto"/>
              <w:ind w:left="386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60" w:type="dxa"/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4" w:type="dxa"/>
            <w:shd w:val="clear" w:color="auto" w:fill="AEAAAA" w:themeFill="background2" w:themeFillShade="BF"/>
            <w:vAlign w:val="top"/>
          </w:tcPr>
          <w:p>
            <w:pPr>
              <w:spacing w:before="107" w:line="220" w:lineRule="auto"/>
              <w:ind w:left="349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907" w:type="dxa"/>
            <w:shd w:val="clear" w:color="auto" w:fill="AEAAAA" w:themeFill="background2" w:themeFillShade="BF"/>
            <w:vAlign w:val="top"/>
          </w:tcPr>
          <w:p>
            <w:pPr>
              <w:spacing w:before="106" w:line="220" w:lineRule="auto"/>
              <w:ind w:left="354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60" w:type="dxa"/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7" w:type="dxa"/>
            <w:shd w:val="clear" w:color="auto" w:fill="AEAAAA" w:themeFill="background2" w:themeFillShade="BF"/>
            <w:vAlign w:val="top"/>
          </w:tcPr>
          <w:p>
            <w:pPr>
              <w:spacing w:before="107" w:line="220" w:lineRule="auto"/>
              <w:ind w:left="452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1079" w:type="dxa"/>
            <w:shd w:val="clear" w:color="auto" w:fill="AEAAAA" w:themeFill="background2" w:themeFillShade="BF"/>
            <w:vAlign w:val="top"/>
          </w:tcPr>
          <w:p>
            <w:pPr>
              <w:spacing w:before="106" w:line="220" w:lineRule="auto"/>
              <w:ind w:left="440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137"/>
              <w:rPr>
                <w:color w:val="auto"/>
              </w:rPr>
            </w:pPr>
            <w:r>
              <w:rPr>
                <w:color w:val="auto"/>
                <w:spacing w:val="-10"/>
              </w:rPr>
              <w:t>20.00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3" w:line="184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3.45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311"/>
              <w:rPr>
                <w:color w:val="auto"/>
              </w:rPr>
            </w:pPr>
            <w:r>
              <w:rPr>
                <w:color w:val="auto"/>
                <w:spacing w:val="-13"/>
              </w:rPr>
              <w:t>3.00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183"/>
              <w:rPr>
                <w:color w:val="auto"/>
              </w:rPr>
            </w:pPr>
            <w:r>
              <w:rPr>
                <w:color w:val="auto"/>
                <w:spacing w:val="-13"/>
              </w:rPr>
              <w:t>14.30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3.26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276"/>
              <w:rPr>
                <w:color w:val="auto"/>
              </w:rPr>
            </w:pPr>
            <w:r>
              <w:rPr>
                <w:color w:val="auto"/>
                <w:spacing w:val="-12"/>
              </w:rPr>
              <w:t>2.81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22"/>
              <w:rPr>
                <w:color w:val="auto"/>
              </w:rPr>
            </w:pPr>
            <w:r>
              <w:rPr>
                <w:color w:val="auto"/>
                <w:spacing w:val="-13"/>
              </w:rPr>
              <w:t>8.60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365"/>
              <w:rPr>
                <w:color w:val="auto"/>
              </w:rPr>
            </w:pPr>
            <w:r>
              <w:rPr>
                <w:color w:val="auto"/>
                <w:spacing w:val="-13"/>
              </w:rPr>
              <w:t>3.07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362"/>
              <w:rPr>
                <w:color w:val="auto"/>
              </w:rPr>
            </w:pPr>
            <w:r>
              <w:rPr>
                <w:color w:val="auto"/>
                <w:spacing w:val="-12"/>
              </w:rPr>
              <w:t>2.62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154"/>
              <w:rPr>
                <w:color w:val="auto"/>
              </w:rPr>
            </w:pPr>
            <w:r>
              <w:rPr>
                <w:color w:val="auto"/>
                <w:spacing w:val="-13"/>
              </w:rPr>
              <w:t>19.70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3.44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307"/>
              <w:rPr>
                <w:color w:val="auto"/>
              </w:rPr>
            </w:pPr>
            <w:r>
              <w:rPr>
                <w:color w:val="auto"/>
                <w:spacing w:val="-12"/>
              </w:rPr>
              <w:t>2.99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14.00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3" w:line="184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3.25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76"/>
              <w:rPr>
                <w:color w:val="auto"/>
              </w:rPr>
            </w:pPr>
            <w:r>
              <w:rPr>
                <w:color w:val="auto"/>
                <w:spacing w:val="-12"/>
              </w:rPr>
              <w:t>2.80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22"/>
              <w:rPr>
                <w:color w:val="auto"/>
              </w:rPr>
            </w:pPr>
            <w:r>
              <w:rPr>
                <w:color w:val="auto"/>
                <w:spacing w:val="-13"/>
              </w:rPr>
              <w:t>8.30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65"/>
              <w:rPr>
                <w:color w:val="auto"/>
              </w:rPr>
            </w:pPr>
            <w:r>
              <w:rPr>
                <w:color w:val="auto"/>
                <w:spacing w:val="-13"/>
              </w:rPr>
              <w:t>3.06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2.61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154"/>
              <w:rPr>
                <w:color w:val="auto"/>
              </w:rPr>
            </w:pPr>
            <w:r>
              <w:rPr>
                <w:color w:val="auto"/>
                <w:spacing w:val="-13"/>
              </w:rPr>
              <w:t>19.40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3.43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07"/>
              <w:rPr>
                <w:color w:val="auto"/>
              </w:rPr>
            </w:pPr>
            <w:r>
              <w:rPr>
                <w:color w:val="auto"/>
                <w:spacing w:val="-12"/>
              </w:rPr>
              <w:t>2.98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13.70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3.24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2.79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21"/>
              <w:rPr>
                <w:color w:val="auto"/>
              </w:rPr>
            </w:pPr>
            <w:r>
              <w:rPr>
                <w:color w:val="auto"/>
                <w:spacing w:val="-13"/>
              </w:rPr>
              <w:t>8.00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4" w:line="184" w:lineRule="auto"/>
              <w:ind w:left="365"/>
              <w:rPr>
                <w:color w:val="auto"/>
              </w:rPr>
            </w:pPr>
            <w:r>
              <w:rPr>
                <w:color w:val="auto"/>
                <w:spacing w:val="-13"/>
              </w:rPr>
              <w:t>3.05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2.60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154"/>
              <w:rPr>
                <w:color w:val="auto"/>
              </w:rPr>
            </w:pPr>
            <w:r>
              <w:rPr>
                <w:color w:val="auto"/>
                <w:spacing w:val="-13"/>
              </w:rPr>
              <w:t>19.10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3.42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307"/>
              <w:rPr>
                <w:color w:val="auto"/>
              </w:rPr>
            </w:pPr>
            <w:r>
              <w:rPr>
                <w:color w:val="auto"/>
                <w:spacing w:val="-12"/>
              </w:rPr>
              <w:t>2.97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13.40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3.23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2.78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17"/>
              <w:rPr>
                <w:color w:val="auto"/>
              </w:rPr>
            </w:pPr>
            <w:r>
              <w:rPr>
                <w:color w:val="auto"/>
                <w:spacing w:val="-12"/>
              </w:rPr>
              <w:t>7.70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364"/>
              <w:rPr>
                <w:color w:val="auto"/>
              </w:rPr>
            </w:pPr>
            <w:r>
              <w:rPr>
                <w:color w:val="auto"/>
                <w:spacing w:val="-13"/>
              </w:rPr>
              <w:t>3.04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6" w:line="185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2.59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153"/>
              <w:rPr>
                <w:color w:val="auto"/>
              </w:rPr>
            </w:pPr>
            <w:r>
              <w:rPr>
                <w:color w:val="auto"/>
                <w:spacing w:val="-13"/>
              </w:rPr>
              <w:t>18.80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3.41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6" w:line="185" w:lineRule="auto"/>
              <w:ind w:left="306"/>
              <w:rPr>
                <w:color w:val="auto"/>
              </w:rPr>
            </w:pPr>
            <w:r>
              <w:rPr>
                <w:color w:val="auto"/>
                <w:spacing w:val="-12"/>
              </w:rPr>
              <w:t>2.96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13.10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3.22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2.77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17"/>
              <w:rPr>
                <w:color w:val="auto"/>
              </w:rPr>
            </w:pPr>
            <w:r>
              <w:rPr>
                <w:color w:val="auto"/>
                <w:spacing w:val="-12"/>
              </w:rPr>
              <w:t>7.40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4"/>
              <w:rPr>
                <w:color w:val="auto"/>
              </w:rPr>
            </w:pPr>
            <w:r>
              <w:rPr>
                <w:color w:val="auto"/>
                <w:spacing w:val="-13"/>
              </w:rPr>
              <w:t>3.03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6" w:line="184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2.58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153"/>
              <w:rPr>
                <w:color w:val="auto"/>
              </w:rPr>
            </w:pPr>
            <w:r>
              <w:rPr>
                <w:color w:val="auto"/>
                <w:spacing w:val="-13"/>
              </w:rPr>
              <w:t>18.50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3.40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7" w:line="185" w:lineRule="auto"/>
              <w:ind w:left="306"/>
              <w:rPr>
                <w:color w:val="auto"/>
              </w:rPr>
            </w:pPr>
            <w:r>
              <w:rPr>
                <w:color w:val="auto"/>
                <w:spacing w:val="-12"/>
              </w:rPr>
              <w:t>2.95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12.80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3.21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2.76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17"/>
              <w:rPr>
                <w:color w:val="auto"/>
              </w:rPr>
            </w:pPr>
            <w:r>
              <w:rPr>
                <w:color w:val="auto"/>
                <w:spacing w:val="-12"/>
              </w:rPr>
              <w:t>7.10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64"/>
              <w:rPr>
                <w:color w:val="auto"/>
              </w:rPr>
            </w:pPr>
            <w:r>
              <w:rPr>
                <w:color w:val="auto"/>
                <w:spacing w:val="-13"/>
              </w:rPr>
              <w:t>3.02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2.57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153"/>
              <w:rPr>
                <w:color w:val="auto"/>
              </w:rPr>
            </w:pPr>
            <w:r>
              <w:rPr>
                <w:color w:val="auto"/>
                <w:spacing w:val="-13"/>
              </w:rPr>
              <w:t>18.20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50" w:line="183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3.39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50" w:line="183" w:lineRule="auto"/>
              <w:ind w:left="306"/>
              <w:rPr>
                <w:color w:val="auto"/>
              </w:rPr>
            </w:pPr>
            <w:r>
              <w:rPr>
                <w:color w:val="auto"/>
                <w:spacing w:val="-12"/>
              </w:rPr>
              <w:t>2.94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181"/>
              <w:rPr>
                <w:color w:val="auto"/>
              </w:rPr>
            </w:pPr>
            <w:r>
              <w:rPr>
                <w:color w:val="auto"/>
                <w:spacing w:val="-13"/>
              </w:rPr>
              <w:t>12.50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3.20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2.75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19"/>
              <w:rPr>
                <w:color w:val="auto"/>
              </w:rPr>
            </w:pPr>
            <w:r>
              <w:rPr>
                <w:color w:val="auto"/>
                <w:spacing w:val="-12"/>
              </w:rPr>
              <w:t>6.80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364"/>
              <w:rPr>
                <w:color w:val="auto"/>
              </w:rPr>
            </w:pPr>
            <w:r>
              <w:rPr>
                <w:color w:val="auto"/>
                <w:spacing w:val="-13"/>
              </w:rPr>
              <w:t>3.01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360"/>
              <w:rPr>
                <w:color w:val="auto"/>
              </w:rPr>
            </w:pPr>
            <w:r>
              <w:rPr>
                <w:color w:val="auto"/>
                <w:spacing w:val="-12"/>
              </w:rPr>
              <w:t>2.56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15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17.90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4" w:line="182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3.38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307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2.93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4" w:line="182" w:lineRule="auto"/>
              <w:ind w:left="18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12.20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3.19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4" w:line="182" w:lineRule="auto"/>
              <w:ind w:left="27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2.74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2" w:line="184" w:lineRule="auto"/>
              <w:ind w:left="22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6.50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4" w:line="182" w:lineRule="auto"/>
              <w:ind w:left="36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3.00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2" w:line="184" w:lineRule="auto"/>
              <w:ind w:left="3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2.55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15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17.60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07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11.90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27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2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6.20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2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2.54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15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17.30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307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11.60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5" w:lineRule="auto"/>
              <w:ind w:left="219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5.90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5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3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2.53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15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17.00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4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07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11.30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4" w:lineRule="auto"/>
              <w:ind w:left="219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5.60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2.52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16.70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30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11.00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21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5.30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2.51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16.40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30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10.70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5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21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5.00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16.10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0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18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10.40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1"/>
              </w:rPr>
              <w:t>4.70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2.48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4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15.80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0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18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10.10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1"/>
              </w:rPr>
              <w:t>4.40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4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15.50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4" w:lineRule="auto"/>
              <w:ind w:left="3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1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9.80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1"/>
              </w:rPr>
              <w:t>4.10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2.44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15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15.20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3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5" w:lineRule="auto"/>
              <w:ind w:left="21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9.50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2.42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15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14.90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9.20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2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59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15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14.60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3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3" w:lineRule="auto"/>
              <w:ind w:left="21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8.90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1" w:line="182" w:lineRule="auto"/>
              <w:ind w:left="34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25" w:line="201" w:lineRule="auto"/>
              <w:ind w:left="12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2.80</w:t>
            </w:r>
            <w:r>
              <w:rPr>
                <w:color w:val="auto"/>
                <w:spacing w:val="-28"/>
              </w:rPr>
              <w:t xml:space="preserve"> </w:t>
            </w:r>
            <w:r>
              <w:rPr>
                <w:color w:val="auto"/>
                <w:spacing w:val="-13"/>
              </w:rPr>
              <w:t>以下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25" w:line="201" w:lineRule="auto"/>
              <w:ind w:left="12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2.40</w:t>
            </w:r>
            <w:r>
              <w:rPr>
                <w:color w:val="auto"/>
                <w:spacing w:val="-28"/>
              </w:rPr>
              <w:t xml:space="preserve"> </w:t>
            </w:r>
            <w:r>
              <w:rPr>
                <w:color w:val="auto"/>
                <w:spacing w:val="-13"/>
              </w:rPr>
              <w:t>以下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二、投篮（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val="en-US" w:eastAsia="zh-CN"/>
        </w:rPr>
        <w:t>20分）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考试方法：如图示，在以篮圈中心投影点为圆心，5.5米为半径所划的弧线外设置五个投篮点（球场两侧0度角处、两侧45度处和正面弧顶），每个点位放置4个球，共20个球。考生须从第1投篮点或第5投篮点开始投篮，按逆时针或顺时针方向依次投完每个点位的4个球（每个点位第4个球可选择在三分线外投篮）。测试时间为1分钟。要求考生必须在弧线外投篮，球出手前双脚不得踩线，若踩线投中计为无效投篮，不得分。每人测试2次，取最好成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评分标准：每个点4个球。前3个球每投中1球，得1分。第4个球如果三分线外投中，得2分；如果踩三分线及三分线以内投中，得1分。投篮记分20分（含）以上为满分20分。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2439"/>
        <w:textAlignment w:val="baseline"/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1000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position w:val="-3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179070</wp:posOffset>
            </wp:positionV>
            <wp:extent cx="3074035" cy="2658745"/>
            <wp:effectExtent l="0" t="0" r="4445" b="8255"/>
            <wp:wrapSquare wrapText="bothSides"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三、多种变向运球上篮（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val="en-US" w:eastAsia="zh-CN"/>
        </w:rPr>
        <w:t>20分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34" w:firstLine="596" w:firstLineChars="200"/>
        <w:jc w:val="left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考试方法：如图所示，考生在球场端线中点外出发区持球站立，当其身体任意部位穿过端线外沿的垂直面时开始计时。考生用右手运球至①处，在①处做右手背后运球，换左手向②处运球，至②处做左手后转身运球，换右手运球至③处，在③处做右手胯下运球后右手上篮。球中篮后方可用左手运球返回③处，在③处做左手背后运球，换右手向②处运球，在②处做右手后转身运球，换左手向①处运球，在①处做左手胯下运球后左手上篮。球中后做同样的动作再重复一次，最后一次上篮命中后，持球冲出端线，考生身体任意部位穿过端线外沿垂直面时停止计时，记录完成的时间。每人测试2次，取最好成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34" w:firstLine="596" w:firstLineChars="200"/>
        <w:jc w:val="left"/>
        <w:textAlignment w:val="baseline"/>
        <w:rPr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篮球场地上的标志①、②、③为以40厘米为半径的圆圈。①、③圆圈中心点到端线内沿的距离为6米，到边线内沿的距离为2米。②在中线上，到中圈中心点的距离为2.8米。考生在考试时必须任意一脚踩到圆圈线或圆圈内地面，方可运球变向，否则视为无效，不予计分；运球上篮时必须投中，若球未投中仍继续带球前进，则视为无效，不予计分。考生在运球行进的过程中不得违例，每次违例计时追加1秒；必须使用规定的手上篮，错1次，计时追加1秒；胯下变向运球时，必须从体前由内侧向外侧变向运球换手，且双脚不能离开地面，错1次计时追加1秒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34" w:firstLine="1000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sectPr>
          <w:headerReference r:id="rId5" w:type="default"/>
          <w:type w:val="continuous"/>
          <w:pgSz w:w="10488" w:h="14740"/>
          <w:pgMar w:top="1367" w:right="1111" w:bottom="731" w:left="1134" w:header="828" w:footer="573" w:gutter="0"/>
          <w:cols w:space="0" w:num="1"/>
          <w:rtlGutter w:val="0"/>
          <w:docGrid w:linePitch="0" w:charSpace="0"/>
        </w:sectPr>
      </w:pPr>
      <w:r>
        <w:rPr>
          <w:position w:val="-53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-20320</wp:posOffset>
            </wp:positionV>
            <wp:extent cx="3387725" cy="1691640"/>
            <wp:effectExtent l="0" t="0" r="10795" b="0"/>
            <wp:wrapTight wrapText="bothSides">
              <wp:wrapPolygon>
                <wp:start x="0" y="0"/>
                <wp:lineTo x="0" y="21405"/>
                <wp:lineTo x="21474" y="21405"/>
                <wp:lineTo x="21474" y="0"/>
                <wp:lineTo x="0" y="0"/>
              </wp:wrapPolygon>
            </wp:wrapTight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8278" cy="169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849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成绩（秒）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成绩（秒）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四、实战能力（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val="en-US" w:eastAsia="zh-CN"/>
        </w:rPr>
        <w:t>40分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1.考试方法：按照篮球比赛规则，视考生人数分队进行比赛，比赛时间10分钟。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2.评分标准：评委参照实战能力评分细则（见下表），独立对考生动作的正确、协调、连贯程度，技、战术运用水平以及配合意识等方面进行综合评定。</w:t>
      </w:r>
    </w:p>
    <w:p>
      <w:pPr>
        <w:spacing w:before="252" w:line="242" w:lineRule="auto"/>
        <w:ind w:left="0" w:leftChars="0" w:firstLine="0" w:firstLineChars="0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color w:val="231F20"/>
          <w:spacing w:val="2"/>
          <w:sz w:val="21"/>
          <w:szCs w:val="21"/>
        </w:rPr>
        <w:t>实战能力评分细则</w:t>
      </w:r>
      <w:r>
        <w:rPr>
          <w:rFonts w:hint="eastAsia" w:ascii="黑体" w:hAnsi="黑体" w:eastAsia="黑体" w:cs="黑体"/>
          <w:color w:val="231F20"/>
          <w:spacing w:val="2"/>
          <w:sz w:val="21"/>
          <w:szCs w:val="21"/>
          <w:lang w:eastAsia="zh-CN"/>
        </w:rPr>
        <w:t>表</w:t>
      </w:r>
    </w:p>
    <w:p>
      <w:pPr>
        <w:spacing w:line="113" w:lineRule="exact"/>
      </w:pPr>
    </w:p>
    <w:tbl>
      <w:tblPr>
        <w:tblStyle w:val="7"/>
        <w:tblW w:w="8445" w:type="dxa"/>
        <w:tblInd w:w="2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6453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992" w:type="dxa"/>
            <w:shd w:val="clear" w:color="auto" w:fill="6C6D70"/>
            <w:vAlign w:val="top"/>
          </w:tcPr>
          <w:p>
            <w:pPr>
              <w:spacing w:before="100" w:line="220" w:lineRule="auto"/>
              <w:ind w:left="167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FFFFFF"/>
                <w:spacing w:val="-6"/>
                <w:sz w:val="21"/>
                <w:szCs w:val="21"/>
              </w:rPr>
              <w:t>等级（分值范围）</w:t>
            </w:r>
          </w:p>
        </w:tc>
        <w:tc>
          <w:tcPr>
            <w:tcW w:w="6453" w:type="dxa"/>
            <w:shd w:val="clear" w:color="auto" w:fill="6C6D70"/>
            <w:vAlign w:val="top"/>
          </w:tcPr>
          <w:p>
            <w:pPr>
              <w:spacing w:before="101" w:line="218" w:lineRule="auto"/>
              <w:ind w:left="2693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FFFFFF"/>
                <w:spacing w:val="-2"/>
                <w:sz w:val="21"/>
                <w:szCs w:val="21"/>
              </w:rPr>
              <w:t>评价标准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992" w:type="dxa"/>
            <w:shd w:val="clear" w:color="auto" w:fill="ECECEE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9" w:line="211" w:lineRule="auto"/>
              <w:ind w:left="260"/>
            </w:pPr>
            <w:r>
              <w:rPr>
                <w:color w:val="231F20"/>
                <w:spacing w:val="-5"/>
              </w:rPr>
              <w:t>优（</w:t>
            </w:r>
            <w:r>
              <w:rPr>
                <w:rFonts w:hint="eastAsia"/>
                <w:color w:val="231F20"/>
                <w:spacing w:val="-5"/>
                <w:lang w:val="en-US" w:eastAsia="zh-CN"/>
              </w:rPr>
              <w:t>4</w:t>
            </w:r>
            <w:r>
              <w:rPr>
                <w:color w:val="231F20"/>
                <w:spacing w:val="-5"/>
              </w:rPr>
              <w:t>0</w:t>
            </w:r>
            <w:r>
              <w:rPr>
                <w:rFonts w:hint="eastAsia"/>
                <w:color w:val="231F20"/>
                <w:spacing w:val="-5"/>
                <w:lang w:val="en-US" w:eastAsia="zh-CN"/>
              </w:rPr>
              <w:t>.0~34.1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5"/>
              </w:rPr>
              <w:t>分）</w:t>
            </w:r>
          </w:p>
        </w:tc>
        <w:tc>
          <w:tcPr>
            <w:tcW w:w="6453" w:type="dxa"/>
            <w:shd w:val="clear" w:color="auto" w:fill="ECECEE"/>
            <w:vAlign w:val="top"/>
          </w:tcPr>
          <w:p>
            <w:pPr>
              <w:pStyle w:val="8"/>
              <w:spacing w:before="113" w:line="247" w:lineRule="auto"/>
              <w:ind w:left="113" w:right="109" w:firstLine="426"/>
              <w:jc w:val="both"/>
            </w:pPr>
            <w:r>
              <w:rPr>
                <w:color w:val="231F20"/>
                <w:spacing w:val="4"/>
              </w:rPr>
              <w:t>进攻、防守技术动作规范、协调、连贯，运用合理；攻</w:t>
            </w:r>
            <w:r>
              <w:rPr>
                <w:color w:val="231F20"/>
                <w:spacing w:val="3"/>
              </w:rPr>
              <w:t>防战</w:t>
            </w:r>
            <w:r>
              <w:rPr>
                <w:color w:val="231F20"/>
                <w:spacing w:val="-9"/>
              </w:rPr>
              <w:t>术配合意识强；位置技术好，在组织、助攻、篮板、盖帽、抢断、</w:t>
            </w:r>
            <w:r>
              <w:rPr>
                <w:color w:val="231F20"/>
                <w:spacing w:val="-2"/>
              </w:rPr>
              <w:t>协防、得分等指标上表现突出，综合能力强。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992" w:type="dxa"/>
            <w:shd w:val="clear" w:color="auto" w:fill="DCDDDF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8" w:line="211" w:lineRule="auto"/>
              <w:ind w:left="263"/>
            </w:pPr>
            <w:r>
              <w:rPr>
                <w:color w:val="231F20"/>
                <w:spacing w:val="-13"/>
              </w:rPr>
              <w:t>良（</w:t>
            </w:r>
            <w:r>
              <w:rPr>
                <w:rFonts w:hint="eastAsia"/>
                <w:color w:val="231F20"/>
                <w:spacing w:val="-13"/>
                <w:lang w:val="en-US" w:eastAsia="zh-CN"/>
              </w:rPr>
              <w:t>34</w:t>
            </w:r>
            <w:bookmarkStart w:id="0" w:name="_GoBack"/>
            <w:bookmarkEnd w:id="0"/>
            <w:r>
              <w:rPr>
                <w:rFonts w:hint="eastAsia"/>
                <w:color w:val="231F20"/>
                <w:spacing w:val="-13"/>
                <w:lang w:val="en-US" w:eastAsia="zh-CN"/>
              </w:rPr>
              <w:t>.0</w:t>
            </w:r>
            <w:r>
              <w:rPr>
                <w:color w:val="231F20"/>
                <w:spacing w:val="-13"/>
              </w:rPr>
              <w:t>~</w:t>
            </w:r>
            <w:r>
              <w:rPr>
                <w:rFonts w:hint="eastAsia"/>
                <w:color w:val="231F20"/>
                <w:spacing w:val="-13"/>
                <w:lang w:val="en-US" w:eastAsia="zh-CN"/>
              </w:rPr>
              <w:t>30.1</w:t>
            </w:r>
            <w:r>
              <w:rPr>
                <w:color w:val="231F20"/>
                <w:spacing w:val="-13"/>
              </w:rPr>
              <w:t>分）</w:t>
            </w:r>
          </w:p>
        </w:tc>
        <w:tc>
          <w:tcPr>
            <w:tcW w:w="6453" w:type="dxa"/>
            <w:shd w:val="clear" w:color="auto" w:fill="DCDDDF"/>
            <w:vAlign w:val="top"/>
          </w:tcPr>
          <w:p>
            <w:pPr>
              <w:pStyle w:val="8"/>
              <w:spacing w:before="111" w:line="248" w:lineRule="auto"/>
              <w:ind w:left="113" w:right="120" w:firstLine="425"/>
              <w:jc w:val="both"/>
            </w:pPr>
            <w:r>
              <w:rPr>
                <w:color w:val="231F20"/>
                <w:spacing w:val="3"/>
              </w:rPr>
              <w:t>进攻、防守技术动作规范、协调，运用较合理；攻防战术配</w:t>
            </w:r>
            <w:r>
              <w:rPr>
                <w:color w:val="231F20"/>
                <w:spacing w:val="-9"/>
              </w:rPr>
              <w:t>合意识较强；位置技术较好，在组织、助攻、篮板、盖帽、抢断、</w:t>
            </w:r>
            <w:r>
              <w:rPr>
                <w:color w:val="231F20"/>
                <w:spacing w:val="-2"/>
              </w:rPr>
              <w:t>协防、得分等指标上表现较好，综合能力较强。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992" w:type="dxa"/>
            <w:shd w:val="clear" w:color="auto" w:fill="ECECEE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8" w:line="211" w:lineRule="auto"/>
              <w:ind w:left="255"/>
            </w:pPr>
            <w:r>
              <w:rPr>
                <w:color w:val="231F20"/>
                <w:spacing w:val="-12"/>
              </w:rPr>
              <w:t>中（</w:t>
            </w:r>
            <w:r>
              <w:rPr>
                <w:rFonts w:hint="eastAsia"/>
                <w:color w:val="231F20"/>
                <w:spacing w:val="-12"/>
                <w:lang w:val="en-US" w:eastAsia="zh-CN"/>
              </w:rPr>
              <w:t>30.0</w:t>
            </w:r>
            <w:r>
              <w:rPr>
                <w:color w:val="231F20"/>
                <w:spacing w:val="-12"/>
              </w:rPr>
              <w:t>~</w:t>
            </w:r>
            <w:r>
              <w:rPr>
                <w:rFonts w:hint="eastAsia"/>
                <w:color w:val="231F20"/>
                <w:spacing w:val="-12"/>
                <w:lang w:val="en-US" w:eastAsia="zh-CN"/>
              </w:rPr>
              <w:t>24</w:t>
            </w:r>
            <w:r>
              <w:rPr>
                <w:color w:val="231F20"/>
                <w:spacing w:val="-12"/>
              </w:rPr>
              <w:t>.0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12"/>
              </w:rPr>
              <w:t>分）</w:t>
            </w:r>
          </w:p>
        </w:tc>
        <w:tc>
          <w:tcPr>
            <w:tcW w:w="6453" w:type="dxa"/>
            <w:shd w:val="clear" w:color="auto" w:fill="ECECEE"/>
            <w:vAlign w:val="top"/>
          </w:tcPr>
          <w:p>
            <w:pPr>
              <w:pStyle w:val="8"/>
              <w:spacing w:before="112" w:line="248" w:lineRule="auto"/>
              <w:ind w:left="113" w:right="120" w:firstLine="425"/>
              <w:jc w:val="both"/>
            </w:pPr>
            <w:r>
              <w:rPr>
                <w:color w:val="231F20"/>
                <w:spacing w:val="3"/>
              </w:rPr>
              <w:t>进攻、防守技术动作基本规范，运用基本合理；攻防战术配</w:t>
            </w:r>
            <w:r>
              <w:rPr>
                <w:color w:val="231F20"/>
                <w:spacing w:val="-6"/>
              </w:rPr>
              <w:t>合意识一般；位置技术一般，在组织、助攻、</w:t>
            </w:r>
            <w:r>
              <w:rPr>
                <w:color w:val="231F20"/>
                <w:spacing w:val="-7"/>
              </w:rPr>
              <w:t>篮板、盖帽、抢断、</w:t>
            </w:r>
            <w:r>
              <w:rPr>
                <w:color w:val="231F20"/>
                <w:spacing w:val="-1"/>
              </w:rPr>
              <w:t>协防、得分等指标上表现一般，综合能力一般。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992" w:type="dxa"/>
            <w:shd w:val="clear" w:color="auto" w:fill="DCDDDF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9" w:line="211" w:lineRule="auto"/>
              <w:ind w:left="210"/>
            </w:pPr>
            <w:r>
              <w:rPr>
                <w:color w:val="231F20"/>
                <w:spacing w:val="-7"/>
              </w:rPr>
              <w:t>差（</w:t>
            </w:r>
            <w:r>
              <w:rPr>
                <w:rFonts w:hint="eastAsia"/>
                <w:color w:val="231F20"/>
                <w:spacing w:val="-7"/>
                <w:lang w:val="en-US" w:eastAsia="zh-CN"/>
              </w:rPr>
              <w:t>24</w:t>
            </w:r>
            <w:r>
              <w:rPr>
                <w:color w:val="231F20"/>
                <w:spacing w:val="-7"/>
              </w:rPr>
              <w:t>.0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7"/>
              </w:rPr>
              <w:t>分以下）</w:t>
            </w:r>
          </w:p>
        </w:tc>
        <w:tc>
          <w:tcPr>
            <w:tcW w:w="6453" w:type="dxa"/>
            <w:shd w:val="clear" w:color="auto" w:fill="DCDDDF"/>
            <w:vAlign w:val="top"/>
          </w:tcPr>
          <w:p>
            <w:pPr>
              <w:pStyle w:val="8"/>
              <w:spacing w:before="112" w:line="248" w:lineRule="auto"/>
              <w:ind w:left="113" w:right="125" w:firstLine="425"/>
              <w:jc w:val="both"/>
            </w:pPr>
            <w:r>
              <w:rPr>
                <w:color w:val="231F20"/>
                <w:spacing w:val="3"/>
              </w:rPr>
              <w:t>进攻、防守技术动作不规范、不协调，运用不合理；攻防战</w:t>
            </w:r>
            <w:r>
              <w:rPr>
                <w:color w:val="231F20"/>
                <w:spacing w:val="-9"/>
              </w:rPr>
              <w:t>术配合意识差；位置技术差，在组织、助攻、篮板、盖帽、抢断、</w:t>
            </w:r>
            <w:r>
              <w:rPr>
                <w:color w:val="231F20"/>
                <w:spacing w:val="-2"/>
              </w:rPr>
              <w:t>协防、得分等指标上表现较差，综合能力差。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sectPr>
      <w:headerReference r:id="rId6" w:type="default"/>
      <w:footerReference r:id="rId7" w:type="default"/>
      <w:pgSz w:w="10488" w:h="14740"/>
      <w:pgMar w:top="1367" w:right="1111" w:bottom="731" w:left="1134" w:header="828" w:footer="573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GI1ODIwNmZhMTZjOTViMTcwNDVhYTY1NjE1YmUifQ=="/>
  </w:docVars>
  <w:rsids>
    <w:rsidRoot w:val="07D47F77"/>
    <w:rsid w:val="07D47F77"/>
    <w:rsid w:val="1E371E90"/>
    <w:rsid w:val="26A54C67"/>
    <w:rsid w:val="32A76DCC"/>
    <w:rsid w:val="40694D89"/>
    <w:rsid w:val="4DCA5930"/>
    <w:rsid w:val="65053724"/>
    <w:rsid w:val="74A6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50"/>
      <w:szCs w:val="50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2024-03-12T08:01:00Z</dcterms:created>
  <dc:creator>王启慧</dc:creator>
  <cp:lastModifiedBy>王启慧</cp:lastModifiedBy>
  <dcterms:modified xsi:type="dcterms:W3CDTF">2024-03-20T05:49:20Z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35E9EAB908394FF3B36020AF726296B4_11</vt:lpwstr>
  </property>
</Properties>
</file>